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98F" w:rsidRPr="00513C01" w:rsidRDefault="00165262" w:rsidP="00775D74">
      <w:pPr>
        <w:jc w:val="center"/>
        <w:rPr>
          <w:rFonts w:ascii="Times New Roman" w:hAnsi="Times New Roman"/>
          <w:b/>
          <w:sz w:val="32"/>
          <w:szCs w:val="32"/>
        </w:rPr>
      </w:pPr>
      <w:r w:rsidRPr="00513C01">
        <w:rPr>
          <w:rFonts w:ascii="Times New Roman" w:hAnsi="Times New Roman"/>
          <w:b/>
          <w:sz w:val="32"/>
          <w:szCs w:val="32"/>
        </w:rPr>
        <w:t xml:space="preserve">IZVJEŠTAJ O ZADUŽIVANJU </w:t>
      </w:r>
      <w:r w:rsidR="005802C5">
        <w:rPr>
          <w:rFonts w:ascii="Times New Roman" w:hAnsi="Times New Roman"/>
          <w:b/>
          <w:sz w:val="32"/>
          <w:szCs w:val="32"/>
        </w:rPr>
        <w:t>NA DOMAĆEM I STRANOM TRŽIŠTU KAPITALA</w:t>
      </w:r>
      <w:r w:rsidR="0048098F" w:rsidRPr="00513C01">
        <w:rPr>
          <w:rFonts w:ascii="Times New Roman" w:hAnsi="Times New Roman"/>
          <w:b/>
          <w:sz w:val="32"/>
          <w:szCs w:val="32"/>
        </w:rPr>
        <w:t xml:space="preserve"> </w:t>
      </w:r>
    </w:p>
    <w:p w:rsidR="00A64D10" w:rsidRPr="00095FE7" w:rsidRDefault="004662DD" w:rsidP="00095FE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OD </w:t>
      </w:r>
      <w:r w:rsidR="00F658C2">
        <w:rPr>
          <w:rFonts w:ascii="Times New Roman" w:hAnsi="Times New Roman"/>
          <w:b/>
          <w:sz w:val="32"/>
          <w:szCs w:val="32"/>
        </w:rPr>
        <w:t>1. SIJEČNJA DO 3</w:t>
      </w:r>
      <w:r w:rsidR="008C216C">
        <w:rPr>
          <w:rFonts w:ascii="Times New Roman" w:hAnsi="Times New Roman"/>
          <w:b/>
          <w:sz w:val="32"/>
          <w:szCs w:val="32"/>
        </w:rPr>
        <w:t>0</w:t>
      </w:r>
      <w:r w:rsidR="00F658C2">
        <w:rPr>
          <w:rFonts w:ascii="Times New Roman" w:hAnsi="Times New Roman"/>
          <w:b/>
          <w:sz w:val="32"/>
          <w:szCs w:val="32"/>
        </w:rPr>
        <w:t xml:space="preserve">. </w:t>
      </w:r>
      <w:r w:rsidR="008C216C">
        <w:rPr>
          <w:rFonts w:ascii="Times New Roman" w:hAnsi="Times New Roman"/>
          <w:b/>
          <w:sz w:val="32"/>
          <w:szCs w:val="32"/>
        </w:rPr>
        <w:t>LIPNJA</w:t>
      </w:r>
      <w:r w:rsidR="00113749">
        <w:rPr>
          <w:rFonts w:ascii="Times New Roman" w:hAnsi="Times New Roman"/>
          <w:b/>
          <w:sz w:val="32"/>
          <w:szCs w:val="32"/>
        </w:rPr>
        <w:t xml:space="preserve"> </w:t>
      </w:r>
      <w:r w:rsidR="00C14420">
        <w:rPr>
          <w:rFonts w:ascii="Times New Roman" w:hAnsi="Times New Roman"/>
          <w:b/>
          <w:sz w:val="32"/>
          <w:szCs w:val="32"/>
        </w:rPr>
        <w:t>20</w:t>
      </w:r>
      <w:r w:rsidR="008C216C">
        <w:rPr>
          <w:rFonts w:ascii="Times New Roman" w:hAnsi="Times New Roman"/>
          <w:b/>
          <w:sz w:val="32"/>
          <w:szCs w:val="32"/>
        </w:rPr>
        <w:t>20</w:t>
      </w:r>
      <w:r w:rsidR="002811B3" w:rsidRPr="00513C01">
        <w:rPr>
          <w:rFonts w:ascii="Times New Roman" w:hAnsi="Times New Roman"/>
          <w:b/>
          <w:sz w:val="32"/>
          <w:szCs w:val="32"/>
        </w:rPr>
        <w:t>.</w:t>
      </w:r>
      <w:r w:rsidR="00513C01" w:rsidRPr="00513C01">
        <w:rPr>
          <w:rFonts w:ascii="Times New Roman" w:hAnsi="Times New Roman"/>
          <w:b/>
          <w:sz w:val="32"/>
          <w:szCs w:val="32"/>
        </w:rPr>
        <w:t xml:space="preserve"> GODIN</w:t>
      </w:r>
      <w:r w:rsidR="00F658C2">
        <w:rPr>
          <w:rFonts w:ascii="Times New Roman" w:hAnsi="Times New Roman"/>
          <w:b/>
          <w:sz w:val="32"/>
          <w:szCs w:val="32"/>
        </w:rPr>
        <w:t>E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 xml:space="preserve">Zaduživanje jedinice lokalne i područne (regionalne) samouprave, kao i izdavanje jamstava i suglasnosti pravnim osobama u većinskom izravnom ili neizravnom vlasništvu jedinice lokalne i područne (regionalne) samouprave i ustanovama čiji je osnivač, regulirano je Zakonom o proračunu (Narodne novine broj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87/08, 136/12 i 15/15) i Pravilnikom o postupku zaduživanja te davanja jamstava i suglasnosti jedinica lokalne i područne (regionalne) samouprave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 xml:space="preserve"> (Narodne novine broj 55/09 i 139/10).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B08DC" w:rsidRDefault="002E3D53" w:rsidP="002E3D5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Grad Šibenik može se dugoročno zaduživati uzimanjem kredita, zajmova i izdavanjem vrijednosnih papira, a ukupna godišnja obveza  Grada Šibenika može iznositi najviše do 20 posto ostvarenih prihoda (umanjenih za prihode od domaćih i stranih pomoći i donacija, iz posebnih ugovora: sufinanciranje građana za mjesnu samoupravu i ostvarene s osnove dodatnih udjela u porezu na dohodak i pomoći izravnanja za financiranje decentraliziranih funkcija) u godini koja prethodi godini u kojoj se zadužuje.      </w:t>
      </w:r>
    </w:p>
    <w:p w:rsidR="003D2F04" w:rsidRDefault="002E3D53" w:rsidP="002E3D5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>U iznos ukupne godišnje obveze uključen je iznos prosječnog godišnjeg anuiteta po kreditima, zajmovima, obveze na osnovi izdanih vrijednosnih papira i danih jamstava i suglasnosti, te dospjele nepodmirene obveze iz prethodnih godina, u skladu s Zakonom o proračunu („Narodne novine”, broj 87/08,</w:t>
      </w:r>
      <w:r w:rsidR="0062307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136/12 i 15/15). </w:t>
      </w:r>
    </w:p>
    <w:p w:rsidR="002E3D53" w:rsidRPr="002E3D53" w:rsidRDefault="003D2F04" w:rsidP="002E3D5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>L</w:t>
      </w:r>
      <w:r w:rsidR="002E3D53" w:rsidRPr="002E3D53">
        <w:rPr>
          <w:rFonts w:ascii="Times New Roman" w:eastAsia="Times New Roman" w:hAnsi="Times New Roman"/>
          <w:sz w:val="24"/>
          <w:szCs w:val="20"/>
          <w:lang w:eastAsia="hr-HR"/>
        </w:rPr>
        <w:t>imit ostvarenih prihoda se ne odnosi na projekte koji se sufinanciraju iz pretpristupnih programa i fondova Europske unije i na projekte iz područja unapređenja energetske učinkovitosti.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Pr="0047774F" w:rsidRDefault="008B08DC" w:rsidP="0047774F">
      <w:pPr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Grad Šibenik </w:t>
      </w:r>
      <w:r w:rsidR="004A5E0D">
        <w:rPr>
          <w:rFonts w:ascii="Times New Roman" w:eastAsia="Times New Roman" w:hAnsi="Times New Roman"/>
          <w:sz w:val="24"/>
          <w:szCs w:val="24"/>
          <w:lang w:eastAsia="hr-HR"/>
        </w:rPr>
        <w:t xml:space="preserve">se </w:t>
      </w:r>
      <w:r w:rsidR="00DE2D5F">
        <w:rPr>
          <w:rFonts w:ascii="Times New Roman" w:eastAsia="Times New Roman" w:hAnsi="Times New Roman"/>
          <w:sz w:val="24"/>
          <w:szCs w:val="24"/>
          <w:lang w:eastAsia="hr-HR"/>
        </w:rPr>
        <w:t xml:space="preserve">u 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>razdoblju od 01. siječnja do 3</w:t>
      </w:r>
      <w:r w:rsidR="008C216C">
        <w:rPr>
          <w:rFonts w:ascii="Times New Roman" w:eastAsia="Times New Roman" w:hAnsi="Times New Roman"/>
          <w:sz w:val="24"/>
          <w:szCs w:val="24"/>
          <w:lang w:eastAsia="hr-HR"/>
        </w:rPr>
        <w:t>0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8C216C">
        <w:rPr>
          <w:rFonts w:ascii="Times New Roman" w:eastAsia="Times New Roman" w:hAnsi="Times New Roman"/>
          <w:sz w:val="24"/>
          <w:szCs w:val="24"/>
          <w:lang w:eastAsia="hr-HR"/>
        </w:rPr>
        <w:t>lipnja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1144A3">
        <w:rPr>
          <w:rFonts w:ascii="Times New Roman" w:eastAsia="Times New Roman" w:hAnsi="Times New Roman"/>
          <w:sz w:val="24"/>
          <w:szCs w:val="24"/>
          <w:lang w:eastAsia="hr-HR"/>
        </w:rPr>
        <w:t>20</w:t>
      </w:r>
      <w:r w:rsidR="008C216C">
        <w:rPr>
          <w:rFonts w:ascii="Times New Roman" w:eastAsia="Times New Roman" w:hAnsi="Times New Roman"/>
          <w:sz w:val="24"/>
          <w:szCs w:val="24"/>
          <w:lang w:eastAsia="hr-HR"/>
        </w:rPr>
        <w:t>20</w:t>
      </w:r>
      <w:r w:rsidR="001144A3">
        <w:rPr>
          <w:rFonts w:ascii="Times New Roman" w:eastAsia="Times New Roman" w:hAnsi="Times New Roman"/>
          <w:sz w:val="24"/>
          <w:szCs w:val="24"/>
          <w:lang w:eastAsia="hr-HR"/>
        </w:rPr>
        <w:t>. godin</w:t>
      </w:r>
      <w:r w:rsidR="001C0D9E"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="004A5E0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nije zaduživao</w:t>
      </w:r>
      <w:r w:rsidR="00C774F8">
        <w:rPr>
          <w:rFonts w:ascii="Times New Roman" w:eastAsia="Times New Roman" w:hAnsi="Times New Roman"/>
          <w:sz w:val="24"/>
          <w:szCs w:val="24"/>
          <w:lang w:eastAsia="hr-HR"/>
        </w:rPr>
        <w:t xml:space="preserve">, a u nastavku </w:t>
      </w:r>
      <w:r w:rsidR="00DE2D5F">
        <w:rPr>
          <w:rFonts w:ascii="Times New Roman" w:eastAsia="Times New Roman" w:hAnsi="Times New Roman"/>
          <w:sz w:val="24"/>
          <w:szCs w:val="24"/>
          <w:lang w:eastAsia="hr-HR"/>
        </w:rPr>
        <w:t>donosimo pregled</w:t>
      </w:r>
      <w:r w:rsid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stanja obveza po </w:t>
      </w:r>
      <w:r w:rsidR="00BC3D44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prethodno odobrenim 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>dugoročnim kreditima, zajm</w:t>
      </w:r>
      <w:r w:rsidR="00C92DDA">
        <w:rPr>
          <w:rFonts w:ascii="Times New Roman" w:eastAsia="Times New Roman" w:hAnsi="Times New Roman"/>
          <w:bCs/>
          <w:sz w:val="24"/>
          <w:szCs w:val="24"/>
          <w:lang w:eastAsia="hr-HR"/>
        </w:rPr>
        <w:t>ovima za razdoblj</w:t>
      </w:r>
      <w:r w:rsidR="001144A3">
        <w:rPr>
          <w:rFonts w:ascii="Times New Roman" w:eastAsia="Times New Roman" w:hAnsi="Times New Roman"/>
          <w:bCs/>
          <w:sz w:val="24"/>
          <w:szCs w:val="24"/>
          <w:lang w:eastAsia="hr-HR"/>
        </w:rPr>
        <w:t>e do 3</w:t>
      </w:r>
      <w:r w:rsidR="008C216C">
        <w:rPr>
          <w:rFonts w:ascii="Times New Roman" w:eastAsia="Times New Roman" w:hAnsi="Times New Roman"/>
          <w:bCs/>
          <w:sz w:val="24"/>
          <w:szCs w:val="24"/>
          <w:lang w:eastAsia="hr-HR"/>
        </w:rPr>
        <w:t>0</w:t>
      </w:r>
      <w:r w:rsidR="001144A3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</w:t>
      </w:r>
      <w:r w:rsidR="008C216C">
        <w:rPr>
          <w:rFonts w:ascii="Times New Roman" w:eastAsia="Times New Roman" w:hAnsi="Times New Roman"/>
          <w:bCs/>
          <w:sz w:val="24"/>
          <w:szCs w:val="24"/>
          <w:lang w:eastAsia="hr-HR"/>
        </w:rPr>
        <w:t>lipnja</w:t>
      </w:r>
      <w:r w:rsidR="00C92DDA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20</w:t>
      </w:r>
      <w:r w:rsidR="008C216C">
        <w:rPr>
          <w:rFonts w:ascii="Times New Roman" w:eastAsia="Times New Roman" w:hAnsi="Times New Roman"/>
          <w:bCs/>
          <w:sz w:val="24"/>
          <w:szCs w:val="24"/>
          <w:lang w:eastAsia="hr-HR"/>
        </w:rPr>
        <w:t>20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. </w:t>
      </w:r>
      <w:r w:rsidR="00BC3D44">
        <w:rPr>
          <w:rFonts w:ascii="Times New Roman" w:eastAsia="Times New Roman" w:hAnsi="Times New Roman"/>
          <w:bCs/>
          <w:sz w:val="24"/>
          <w:szCs w:val="24"/>
          <w:lang w:eastAsia="hr-HR"/>
        </w:rPr>
        <w:t>g</w:t>
      </w:r>
      <w:r w:rsidR="004A5E0D" w:rsidRPr="004A5E0D">
        <w:rPr>
          <w:rFonts w:ascii="Times New Roman" w:eastAsia="Times New Roman" w:hAnsi="Times New Roman"/>
          <w:bCs/>
          <w:sz w:val="24"/>
          <w:szCs w:val="24"/>
          <w:lang w:eastAsia="hr-HR"/>
        </w:rPr>
        <w:t>odine</w:t>
      </w:r>
      <w:r w:rsidR="00BC3D44">
        <w:rPr>
          <w:rFonts w:ascii="Times New Roman" w:eastAsia="Times New Roman" w:hAnsi="Times New Roman"/>
          <w:bCs/>
          <w:sz w:val="24"/>
          <w:szCs w:val="24"/>
          <w:lang w:eastAsia="hr-HR"/>
        </w:rPr>
        <w:t>:</w:t>
      </w: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E3D53" w:rsidRP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C3D44" w:rsidRDefault="002E3D53" w:rsidP="00C77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="00C774F8">
        <w:rPr>
          <w:rFonts w:ascii="Times New Roman" w:eastAsia="Times New Roman" w:hAnsi="Times New Roman"/>
          <w:sz w:val="24"/>
          <w:szCs w:val="24"/>
          <w:lang w:eastAsia="hr-HR"/>
        </w:rPr>
        <w:t xml:space="preserve">     </w:t>
      </w:r>
    </w:p>
    <w:p w:rsidR="00BC3D44" w:rsidRDefault="00BC3D44" w:rsidP="00E3655D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579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200"/>
        <w:gridCol w:w="2568"/>
        <w:gridCol w:w="2427"/>
        <w:gridCol w:w="2427"/>
      </w:tblGrid>
      <w:tr w:rsidR="0047774F" w:rsidRPr="00C26B17" w:rsidTr="0047774F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lastRenderedPageBreak/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01.01.20</w:t>
            </w:r>
            <w:r w:rsidR="00845532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20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:rsidR="0047774F" w:rsidRPr="00924AAB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ST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ANJE OBVEZE/ISKORIŠTENI IZNOS 3</w:t>
            </w:r>
            <w:r w:rsidR="0084553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 w:rsidR="0084553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06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.20</w:t>
            </w:r>
            <w:r w:rsidR="0084553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</w:t>
            </w: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(kn)</w:t>
            </w:r>
          </w:p>
        </w:tc>
      </w:tr>
      <w:tr w:rsidR="0047774F" w:rsidRPr="00C26B17" w:rsidTr="0047774F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MINISTARSTVO FINANCIJA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7774F" w:rsidRPr="0048647A" w:rsidRDefault="00420E53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47774F"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9.842.853,24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2012.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845532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8.513.691,61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376FE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84553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8.268.568,90</w:t>
            </w:r>
          </w:p>
        </w:tc>
      </w:tr>
      <w:tr w:rsidR="0047774F" w:rsidRPr="00C26B17" w:rsidTr="0047774F">
        <w:trPr>
          <w:trHeight w:val="85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ZAGREBAČKA BANKA D. D.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20.000.000,00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2014.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4121F6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12.738.226,93</w:t>
            </w:r>
            <w:r w:rsidR="00026A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:rsidR="0047774F" w:rsidRPr="0048647A" w:rsidRDefault="004121F6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11.510.244,15</w:t>
            </w:r>
          </w:p>
        </w:tc>
      </w:tr>
      <w:tr w:rsidR="0047774F" w:rsidRPr="00C26B1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MINISTARSTVO FINANCIJA 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18.2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016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   </w:t>
            </w:r>
            <w:r w:rsidR="00026A8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376FE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8.555.846,21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47774F" w:rsidRPr="0048647A" w:rsidRDefault="00376FE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11.555.846,21</w:t>
            </w:r>
            <w:r w:rsidR="00F5235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</w:t>
            </w:r>
          </w:p>
        </w:tc>
      </w:tr>
      <w:tr w:rsidR="003D5588" w:rsidRPr="00C26B1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:rsidR="003D5588" w:rsidRPr="0048647A" w:rsidRDefault="003D5588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MINISTARSTVO FINANCIJA</w:t>
            </w:r>
            <w:r w:rsidR="00917A85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*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:rsidR="003D5588" w:rsidRDefault="003D558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_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:rsidR="003D5588" w:rsidRPr="0048647A" w:rsidRDefault="003D558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2020. god.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3D5588" w:rsidRDefault="003D5588" w:rsidP="0047774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 xml:space="preserve">                     0,00 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:rsidR="003D5588" w:rsidRDefault="003D558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hr-HR"/>
              </w:rPr>
              <w:t>11.123.553,53</w:t>
            </w:r>
          </w:p>
        </w:tc>
      </w:tr>
      <w:tr w:rsidR="0047774F" w:rsidRPr="00C26B17" w:rsidTr="0047774F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48.042.853,24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2012-2016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</w:t>
            </w:r>
            <w:r w:rsidR="00376F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9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  <w:r w:rsidR="00376F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07.</w:t>
            </w:r>
            <w:r w:rsidR="00376F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764</w:t>
            </w:r>
            <w:r w:rsidR="00B7015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,</w:t>
            </w:r>
            <w:r w:rsidR="00376F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75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 </w:t>
            </w:r>
            <w:r w:rsidR="003D558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42.458.212,79</w:t>
            </w:r>
          </w:p>
        </w:tc>
      </w:tr>
    </w:tbl>
    <w:p w:rsidR="00BC3D44" w:rsidRPr="00E3655D" w:rsidRDefault="00BC3D44" w:rsidP="00E3655D">
      <w:pPr>
        <w:rPr>
          <w:rFonts w:ascii="Times New Roman" w:hAnsi="Times New Roman"/>
          <w:sz w:val="24"/>
          <w:szCs w:val="24"/>
        </w:rPr>
      </w:pPr>
    </w:p>
    <w:p w:rsidR="00E3655D" w:rsidRDefault="00BE5B4E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17A85" w:rsidRPr="009D3C4B" w:rsidRDefault="00917A85" w:rsidP="00917A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17A85">
        <w:rPr>
          <w:rFonts w:ascii="Times New Roman" w:hAnsi="Times New Roman"/>
          <w:b/>
          <w:bCs/>
          <w:sz w:val="24"/>
          <w:szCs w:val="24"/>
        </w:rPr>
        <w:t xml:space="preserve">*kratkoročni beskamatni zajam – NE ulazi u limit za zaduživanje </w:t>
      </w:r>
      <w:r w:rsidR="00F005C5">
        <w:rPr>
          <w:rFonts w:ascii="Times New Roman" w:hAnsi="Times New Roman"/>
          <w:b/>
          <w:bCs/>
          <w:sz w:val="24"/>
          <w:szCs w:val="24"/>
        </w:rPr>
        <w:t>do</w:t>
      </w:r>
      <w:r w:rsidRPr="00917A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3C4B" w:rsidRPr="009D3C4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20% ostvarenih prihoda u godini koja prethodi godini u kojoj se zadužuje</w:t>
      </w:r>
      <w:r w:rsidR="009D3C4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9D3C4B">
        <w:rPr>
          <w:rFonts w:ascii="Times New Roman" w:hAnsi="Times New Roman"/>
          <w:b/>
          <w:bCs/>
          <w:sz w:val="24"/>
          <w:szCs w:val="24"/>
        </w:rPr>
        <w:t>prema važećem Zakonu o proračunu</w:t>
      </w:r>
    </w:p>
    <w:p w:rsidR="00917A85" w:rsidRDefault="00917A85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A85" w:rsidRDefault="00917A85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A85" w:rsidRDefault="00917A85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EC" w:rsidRDefault="00767D1A" w:rsidP="00DE2D5F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Grad Šibenik je </w:t>
      </w:r>
      <w:r w:rsidR="00DE2D5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M</w:t>
      </w:r>
      <w:r w:rsidR="0028635B">
        <w:rPr>
          <w:rFonts w:ascii="Times New Roman" w:hAnsi="Times New Roman"/>
          <w:sz w:val="24"/>
          <w:szCs w:val="24"/>
        </w:rPr>
        <w:t>inistarstvom financija zaključi</w:t>
      </w:r>
      <w:r>
        <w:rPr>
          <w:rFonts w:ascii="Times New Roman" w:hAnsi="Times New Roman"/>
          <w:sz w:val="24"/>
          <w:szCs w:val="24"/>
        </w:rPr>
        <w:t xml:space="preserve">o 17. siječnja 2012. godine Ugovor o zajmu za </w:t>
      </w:r>
      <w:r w:rsidR="00DE76EC"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z w:val="24"/>
          <w:szCs w:val="24"/>
        </w:rPr>
        <w:t>financiranje projek</w:t>
      </w:r>
      <w:r w:rsidR="00DE76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ta </w:t>
      </w:r>
      <w:r w:rsidR="00DE76EC">
        <w:rPr>
          <w:rFonts w:ascii="Times New Roman" w:hAnsi="Times New Roman"/>
          <w:sz w:val="24"/>
          <w:szCs w:val="24"/>
        </w:rPr>
        <w:t>EU IPA ISPA 2007-2011 za Izgradnju</w:t>
      </w:r>
      <w:r>
        <w:rPr>
          <w:rFonts w:ascii="Times New Roman" w:hAnsi="Times New Roman"/>
          <w:sz w:val="24"/>
          <w:szCs w:val="24"/>
        </w:rPr>
        <w:t xml:space="preserve"> Regionalnog centra za gospodarenje otpadom Bikarac I - program ISPA (Klasa: 402-01/12-01/19, Urbroj: 2181/01-06-11-1)</w:t>
      </w:r>
      <w:r w:rsidR="00DE76EC">
        <w:rPr>
          <w:rFonts w:ascii="Times New Roman" w:hAnsi="Times New Roman"/>
          <w:sz w:val="24"/>
          <w:szCs w:val="24"/>
        </w:rPr>
        <w:t>.</w:t>
      </w:r>
    </w:p>
    <w:p w:rsidR="00DE76EC" w:rsidRDefault="00DE2D5F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Maksimalno odobreni</w:t>
      </w:r>
      <w:r w:rsidR="00DE76EC">
        <w:rPr>
          <w:rFonts w:ascii="Times New Roman" w:hAnsi="Times New Roman"/>
          <w:sz w:val="24"/>
          <w:szCs w:val="24"/>
        </w:rPr>
        <w:t xml:space="preserve"> iznos zajma je bio 1.571.552,00 EUR-a, a </w:t>
      </w:r>
      <w:r w:rsidR="00767D1A">
        <w:rPr>
          <w:rFonts w:ascii="Times New Roman" w:hAnsi="Times New Roman"/>
          <w:sz w:val="24"/>
          <w:szCs w:val="24"/>
        </w:rPr>
        <w:t xml:space="preserve"> </w:t>
      </w:r>
      <w:r w:rsidR="00DE76EC">
        <w:rPr>
          <w:rFonts w:ascii="Times New Roman" w:hAnsi="Times New Roman"/>
          <w:sz w:val="24"/>
          <w:szCs w:val="24"/>
        </w:rPr>
        <w:t>Grad Šibenik je uk</w:t>
      </w:r>
      <w:r w:rsidR="009B0016">
        <w:rPr>
          <w:rFonts w:ascii="Times New Roman" w:hAnsi="Times New Roman"/>
          <w:sz w:val="24"/>
          <w:szCs w:val="24"/>
        </w:rPr>
        <w:t>upno iskoristio 1.301.005,48 EUR</w:t>
      </w:r>
      <w:r w:rsidR="00DE76EC">
        <w:rPr>
          <w:rFonts w:ascii="Times New Roman" w:hAnsi="Times New Roman"/>
          <w:sz w:val="24"/>
          <w:szCs w:val="24"/>
        </w:rPr>
        <w:t>-a zajma</w:t>
      </w:r>
      <w:r>
        <w:rPr>
          <w:rFonts w:ascii="Times New Roman" w:hAnsi="Times New Roman"/>
          <w:sz w:val="24"/>
          <w:szCs w:val="24"/>
        </w:rPr>
        <w:t>,</w:t>
      </w:r>
      <w:r w:rsidR="00DE76EC">
        <w:rPr>
          <w:rFonts w:ascii="Times New Roman" w:hAnsi="Times New Roman"/>
          <w:sz w:val="24"/>
          <w:szCs w:val="24"/>
        </w:rPr>
        <w:t xml:space="preserve"> odnosno </w:t>
      </w:r>
      <w:r w:rsidR="00767D1A">
        <w:rPr>
          <w:rFonts w:ascii="Times New Roman" w:hAnsi="Times New Roman"/>
          <w:sz w:val="24"/>
          <w:szCs w:val="24"/>
        </w:rPr>
        <w:t>9.842.853,24 kn</w:t>
      </w:r>
      <w:r w:rsidR="00DE76EC">
        <w:rPr>
          <w:rFonts w:ascii="Times New Roman" w:hAnsi="Times New Roman"/>
          <w:sz w:val="24"/>
          <w:szCs w:val="24"/>
        </w:rPr>
        <w:t>.</w:t>
      </w:r>
    </w:p>
    <w:p w:rsidR="00DE76EC" w:rsidRDefault="00DE76E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Sredstva zajma će se otplaćivati Ministarstvu financija sukcesivno u roku 25 godina uključujući i poček od 5 godina u 80 (osamdeset) jednakih tromjesečnih rata.</w:t>
      </w:r>
    </w:p>
    <w:p w:rsid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Kamata je fiksna </w:t>
      </w:r>
      <w:r w:rsidR="00767D1A">
        <w:rPr>
          <w:rFonts w:ascii="Times New Roman" w:hAnsi="Times New Roman"/>
          <w:sz w:val="24"/>
          <w:szCs w:val="24"/>
        </w:rPr>
        <w:t>za cijelo vrijeme trajanja zajma</w:t>
      </w:r>
      <w:r>
        <w:rPr>
          <w:rFonts w:ascii="Times New Roman" w:hAnsi="Times New Roman"/>
          <w:sz w:val="24"/>
          <w:szCs w:val="24"/>
        </w:rPr>
        <w:t xml:space="preserve"> i iznosi 3,987%, a obračunava se i naplaćuje tromjesečno, uz primjenu proporcionalne metode. </w:t>
      </w:r>
      <w:r w:rsidR="00767D1A">
        <w:rPr>
          <w:rFonts w:ascii="Times New Roman" w:hAnsi="Times New Roman"/>
          <w:sz w:val="24"/>
          <w:szCs w:val="24"/>
        </w:rPr>
        <w:t xml:space="preserve"> </w:t>
      </w:r>
    </w:p>
    <w:p w:rsid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</w:t>
      </w:r>
      <w:r w:rsidR="008D3AB7">
        <w:rPr>
          <w:rFonts w:ascii="Times New Roman" w:hAnsi="Times New Roman"/>
          <w:sz w:val="24"/>
          <w:szCs w:val="24"/>
        </w:rPr>
        <w:t>va</w:t>
      </w:r>
      <w:r w:rsidR="00BE5B4E" w:rsidRPr="00D2502E">
        <w:rPr>
          <w:rFonts w:ascii="Times New Roman" w:hAnsi="Times New Roman"/>
          <w:sz w:val="24"/>
          <w:szCs w:val="24"/>
        </w:rPr>
        <w:t xml:space="preserve"> od prvog korištenja zajma, a naplaćuje se nakon isteka počeka, u 80 jednakih tromjesečnih rata. </w:t>
      </w:r>
    </w:p>
    <w:p w:rsidR="00403A2C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</w:t>
      </w:r>
      <w:r w:rsidR="00DE2D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kao i naknade za prijevremenu otplatu zajma se ne obračunavaju.</w:t>
      </w:r>
    </w:p>
    <w:p w:rsidR="00E3655D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Dospijeće 1. anuiteta </w:t>
      </w:r>
      <w:r w:rsidRPr="00D2502E">
        <w:rPr>
          <w:rFonts w:ascii="Times New Roman" w:hAnsi="Times New Roman"/>
          <w:sz w:val="24"/>
          <w:szCs w:val="24"/>
        </w:rPr>
        <w:t xml:space="preserve">(26.024,42 EUR-a) </w:t>
      </w:r>
      <w:r>
        <w:rPr>
          <w:rFonts w:ascii="Times New Roman" w:hAnsi="Times New Roman"/>
          <w:sz w:val="24"/>
          <w:szCs w:val="24"/>
        </w:rPr>
        <w:t xml:space="preserve">je 5 godina od prvog korištenja zajma koji je </w:t>
      </w:r>
      <w:r w:rsidR="0028635B">
        <w:rPr>
          <w:rFonts w:ascii="Times New Roman" w:hAnsi="Times New Roman"/>
          <w:sz w:val="24"/>
          <w:szCs w:val="24"/>
        </w:rPr>
        <w:t>dospio</w:t>
      </w:r>
      <w:r w:rsidR="00A2183F">
        <w:rPr>
          <w:rFonts w:ascii="Times New Roman" w:hAnsi="Times New Roman"/>
          <w:sz w:val="24"/>
          <w:szCs w:val="24"/>
        </w:rPr>
        <w:t xml:space="preserve"> </w:t>
      </w:r>
      <w:r w:rsidR="00767D1A" w:rsidRPr="00D2502E">
        <w:rPr>
          <w:rFonts w:ascii="Times New Roman" w:hAnsi="Times New Roman"/>
          <w:sz w:val="24"/>
          <w:szCs w:val="24"/>
        </w:rPr>
        <w:t>31. ožujka 2017.</w:t>
      </w:r>
      <w:r w:rsidR="004F31CC">
        <w:rPr>
          <w:rFonts w:ascii="Times New Roman" w:hAnsi="Times New Roman"/>
          <w:sz w:val="24"/>
          <w:szCs w:val="24"/>
        </w:rPr>
        <w:t>, a posljednji dospijeva 31. prosinca 2036. godine</w:t>
      </w:r>
      <w:r w:rsidR="00767D1A" w:rsidRPr="00D2502E">
        <w:rPr>
          <w:rFonts w:ascii="Times New Roman" w:hAnsi="Times New Roman"/>
          <w:sz w:val="24"/>
          <w:szCs w:val="24"/>
        </w:rPr>
        <w:t xml:space="preserve"> u skladu s</w:t>
      </w:r>
      <w:r w:rsidR="00FB0805" w:rsidRPr="00D2502E">
        <w:rPr>
          <w:rFonts w:ascii="Times New Roman" w:hAnsi="Times New Roman"/>
          <w:sz w:val="24"/>
          <w:szCs w:val="24"/>
        </w:rPr>
        <w:t xml:space="preserve"> odredbama Ugovora i dostavljenom otplatnom planu </w:t>
      </w:r>
      <w:r w:rsidR="00D2502E">
        <w:rPr>
          <w:rFonts w:ascii="Times New Roman" w:hAnsi="Times New Roman"/>
          <w:sz w:val="24"/>
          <w:szCs w:val="24"/>
        </w:rPr>
        <w:t>Ministarstva</w:t>
      </w:r>
      <w:r w:rsidR="00FB0805" w:rsidRPr="00D2502E">
        <w:rPr>
          <w:rFonts w:ascii="Times New Roman" w:hAnsi="Times New Roman"/>
          <w:sz w:val="24"/>
          <w:szCs w:val="24"/>
        </w:rPr>
        <w:t xml:space="preserve"> financija od 24. travnja 2017. (Klasa:</w:t>
      </w:r>
      <w:r w:rsidR="00DE2D5F">
        <w:rPr>
          <w:rFonts w:ascii="Times New Roman" w:hAnsi="Times New Roman"/>
          <w:sz w:val="24"/>
          <w:szCs w:val="24"/>
        </w:rPr>
        <w:t xml:space="preserve"> </w:t>
      </w:r>
      <w:r w:rsidR="00FB0805" w:rsidRPr="00D2502E">
        <w:rPr>
          <w:rFonts w:ascii="Times New Roman" w:hAnsi="Times New Roman"/>
          <w:sz w:val="24"/>
          <w:szCs w:val="24"/>
        </w:rPr>
        <w:t>910-01/11-01/445, Urbroj: 513-05-05-17-148).</w:t>
      </w:r>
    </w:p>
    <w:p w:rsidR="00403A2C" w:rsidRPr="00D2502E" w:rsidRDefault="00403A2C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Plaćanje je u kunskoj protuvrijednosti iznosa iskazanog u EUR i obračunato po srednjem tečaju Hrvatske narodne banke na dan plaćanja.</w:t>
      </w:r>
    </w:p>
    <w:p w:rsidR="00FB0805" w:rsidRDefault="00FB080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otplatnom planu, </w:t>
      </w:r>
      <w:r w:rsidR="00D2502E">
        <w:rPr>
          <w:rFonts w:ascii="Times New Roman" w:hAnsi="Times New Roman"/>
          <w:sz w:val="24"/>
          <w:szCs w:val="24"/>
        </w:rPr>
        <w:t>iznos rate za uplatu iskazan je u eurima u stupcu „OTPLATNI PLAN – jednaki anuiteti“ te je otplate potrebno izvršiti u kunskoj protuvrijednosti iznosa, obračunato po srednjem tečaju Hrvatske narodne bank</w:t>
      </w:r>
      <w:r w:rsidR="0028635B">
        <w:rPr>
          <w:rFonts w:ascii="Times New Roman" w:hAnsi="Times New Roman"/>
          <w:sz w:val="24"/>
          <w:szCs w:val="24"/>
        </w:rPr>
        <w:t>e na dan plaćanja, na račun Drža</w:t>
      </w:r>
      <w:r w:rsidR="00D2502E">
        <w:rPr>
          <w:rFonts w:ascii="Times New Roman" w:hAnsi="Times New Roman"/>
          <w:sz w:val="24"/>
          <w:szCs w:val="24"/>
        </w:rPr>
        <w:t>vnog proračuna Republike Hrvatske.</w:t>
      </w:r>
    </w:p>
    <w:p w:rsidR="00285904" w:rsidRDefault="00285904" w:rsidP="00FB0805">
      <w:pPr>
        <w:ind w:left="1068"/>
        <w:rPr>
          <w:rFonts w:ascii="Times New Roman" w:hAnsi="Times New Roman"/>
          <w:sz w:val="24"/>
          <w:szCs w:val="24"/>
        </w:rPr>
      </w:pPr>
    </w:p>
    <w:p w:rsidR="00285904" w:rsidRDefault="00285904" w:rsidP="00BF6629">
      <w:pPr>
        <w:rPr>
          <w:rFonts w:ascii="Times New Roman" w:hAnsi="Times New Roman"/>
          <w:sz w:val="24"/>
          <w:szCs w:val="24"/>
        </w:rPr>
      </w:pPr>
    </w:p>
    <w:p w:rsidR="00A477A7" w:rsidRDefault="00A477A7" w:rsidP="00BF6629">
      <w:pPr>
        <w:rPr>
          <w:rFonts w:ascii="Times New Roman" w:hAnsi="Times New Roman"/>
          <w:sz w:val="24"/>
          <w:szCs w:val="24"/>
        </w:rPr>
      </w:pPr>
    </w:p>
    <w:p w:rsidR="00A477A7" w:rsidRDefault="00A477A7" w:rsidP="00BF6629">
      <w:pPr>
        <w:rPr>
          <w:rFonts w:ascii="Times New Roman" w:hAnsi="Times New Roman"/>
          <w:sz w:val="24"/>
          <w:szCs w:val="24"/>
        </w:rPr>
      </w:pPr>
    </w:p>
    <w:p w:rsidR="0047774F" w:rsidRDefault="0047774F" w:rsidP="00BF6629">
      <w:pPr>
        <w:rPr>
          <w:rFonts w:ascii="Times New Roman" w:hAnsi="Times New Roman"/>
          <w:sz w:val="24"/>
          <w:szCs w:val="24"/>
        </w:rPr>
      </w:pPr>
    </w:p>
    <w:p w:rsidR="0047774F" w:rsidRDefault="0047774F" w:rsidP="00BF6629">
      <w:pPr>
        <w:rPr>
          <w:rFonts w:ascii="Times New Roman" w:hAnsi="Times New Roman"/>
          <w:sz w:val="24"/>
          <w:szCs w:val="24"/>
        </w:rPr>
      </w:pPr>
    </w:p>
    <w:p w:rsidR="0047774F" w:rsidRDefault="0047774F" w:rsidP="00BF6629">
      <w:pPr>
        <w:rPr>
          <w:rFonts w:ascii="Times New Roman" w:hAnsi="Times New Roman"/>
          <w:sz w:val="24"/>
          <w:szCs w:val="24"/>
        </w:rPr>
      </w:pPr>
    </w:p>
    <w:p w:rsidR="00A477A7" w:rsidRDefault="00A477A7" w:rsidP="00BF6629">
      <w:pPr>
        <w:rPr>
          <w:rFonts w:ascii="Times New Roman" w:hAnsi="Times New Roman"/>
          <w:sz w:val="24"/>
          <w:szCs w:val="24"/>
        </w:rPr>
      </w:pPr>
    </w:p>
    <w:p w:rsidR="00253F4B" w:rsidRDefault="00253F4B" w:rsidP="00BF6629">
      <w:pPr>
        <w:rPr>
          <w:rFonts w:ascii="Times New Roman" w:hAnsi="Times New Roman"/>
          <w:sz w:val="24"/>
          <w:szCs w:val="24"/>
        </w:rPr>
      </w:pPr>
    </w:p>
    <w:p w:rsidR="00253F4B" w:rsidRDefault="00253F4B" w:rsidP="00BF6629">
      <w:pPr>
        <w:rPr>
          <w:rFonts w:ascii="Times New Roman" w:hAnsi="Times New Roman"/>
          <w:sz w:val="24"/>
          <w:szCs w:val="24"/>
        </w:rPr>
      </w:pPr>
    </w:p>
    <w:p w:rsidR="00D2502E" w:rsidRDefault="00D2502E" w:rsidP="00FB0805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Iznosi otplata po dugoročn</w:t>
      </w:r>
      <w:r w:rsidR="00EF4592">
        <w:rPr>
          <w:rFonts w:ascii="Times New Roman" w:hAnsi="Times New Roman"/>
          <w:sz w:val="24"/>
          <w:szCs w:val="24"/>
        </w:rPr>
        <w:t xml:space="preserve">om zajmu Ministarstva financija </w:t>
      </w:r>
      <w:r>
        <w:rPr>
          <w:rFonts w:ascii="Times New Roman" w:hAnsi="Times New Roman"/>
          <w:sz w:val="24"/>
          <w:szCs w:val="24"/>
        </w:rPr>
        <w:t>raspoređeni prema dospijeću u narednim godinama:</w:t>
      </w:r>
    </w:p>
    <w:tbl>
      <w:tblPr>
        <w:tblW w:w="4835" w:type="dxa"/>
        <w:tblInd w:w="1242" w:type="dxa"/>
        <w:tblLook w:val="04A0" w:firstRow="1" w:lastRow="0" w:firstColumn="1" w:lastColumn="0" w:noHBand="0" w:noVBand="1"/>
      </w:tblPr>
      <w:tblGrid>
        <w:gridCol w:w="2690"/>
        <w:gridCol w:w="2145"/>
      </w:tblGrid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96743" w:rsidRPr="009879C0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MINISTARSTVO FINANCIJA</w:t>
            </w:r>
          </w:p>
        </w:tc>
      </w:tr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696743" w:rsidRPr="009879C0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ISKORIŠTENI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IZNOS 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ZAJMA</w:t>
            </w:r>
            <w:r w:rsidR="00696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1.301.005,48</w:t>
            </w:r>
            <w:r w:rsidR="00696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Eur</w:t>
            </w:r>
          </w:p>
        </w:tc>
      </w:tr>
      <w:tr w:rsidR="00696743" w:rsidRPr="009879C0" w:rsidTr="00DE2D5F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A16EB0" w:rsidRDefault="0097487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A16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Bikarac I. faza</w:t>
            </w:r>
            <w:r w:rsidR="00696743" w:rsidRPr="00A16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DOSPIJEĆE/godina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950F1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ANUITET/Eur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2020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2022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743" w:rsidRPr="009879C0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2023</w:t>
            </w:r>
            <w:r w:rsidR="00696743"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2024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2025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2026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2027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2028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2029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2030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2031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2032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2033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2034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2035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  <w:tr w:rsidR="00696743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Default="001F2BBC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2036</w:t>
            </w:r>
            <w:r w:rsidR="006967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743" w:rsidRPr="009879C0" w:rsidRDefault="006548C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104.097,68</w:t>
            </w:r>
          </w:p>
        </w:tc>
      </w:tr>
    </w:tbl>
    <w:p w:rsidR="00DE7ADD" w:rsidRDefault="00DE7ADD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1F2BBC" w:rsidRDefault="001F2BBC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A477A7" w:rsidRDefault="00A477A7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654515" w:rsidRDefault="00654515" w:rsidP="00B06890">
      <w:pPr>
        <w:ind w:left="1068"/>
        <w:rPr>
          <w:rFonts w:ascii="Times New Roman" w:hAnsi="Times New Roman"/>
          <w:sz w:val="24"/>
          <w:szCs w:val="24"/>
        </w:rPr>
      </w:pPr>
    </w:p>
    <w:p w:rsidR="00BC3D44" w:rsidRDefault="004D3988" w:rsidP="00DE2D5F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 Šibenik je sa Z</w:t>
      </w:r>
      <w:r w:rsidR="00956E60">
        <w:rPr>
          <w:rFonts w:ascii="Times New Roman" w:hAnsi="Times New Roman"/>
          <w:sz w:val="24"/>
          <w:szCs w:val="24"/>
        </w:rPr>
        <w:t>agrebačkom bankom d.d. zaključi</w:t>
      </w:r>
      <w:r>
        <w:rPr>
          <w:rFonts w:ascii="Times New Roman" w:hAnsi="Times New Roman"/>
          <w:sz w:val="24"/>
          <w:szCs w:val="24"/>
        </w:rPr>
        <w:t xml:space="preserve">o 05. prosinca 2014. </w:t>
      </w:r>
      <w:r w:rsidR="00AA491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odine Ugovor o dugoročnom kreditu s valutnom klauzulom za rješavanje hipoteke INA-e d.d. na</w:t>
      </w:r>
      <w:r w:rsidR="00AA4915">
        <w:rPr>
          <w:rFonts w:ascii="Times New Roman" w:hAnsi="Times New Roman"/>
          <w:sz w:val="24"/>
          <w:szCs w:val="24"/>
        </w:rPr>
        <w:t>d zemljištem bivšeg TEF-a</w:t>
      </w:r>
      <w:r>
        <w:rPr>
          <w:rFonts w:ascii="Times New Roman" w:hAnsi="Times New Roman"/>
          <w:sz w:val="24"/>
          <w:szCs w:val="24"/>
        </w:rPr>
        <w:t xml:space="preserve"> te financiranje ostalih kapitalnih investicija, temeljem javne objave broj 2014/S 002-0036390, objavljenog u elektroničkom oglasniku Javne nabave Narodnih novina 25. </w:t>
      </w:r>
      <w:r w:rsidR="00AA491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rpnja 2014</w:t>
      </w:r>
      <w:r w:rsidR="00AA4915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te temeljem Dokumentacije za nadmetanje.</w:t>
      </w:r>
      <w:r w:rsidR="00AA4915">
        <w:rPr>
          <w:rFonts w:ascii="Times New Roman" w:hAnsi="Times New Roman"/>
          <w:sz w:val="24"/>
          <w:szCs w:val="24"/>
        </w:rPr>
        <w:t xml:space="preserve"> </w:t>
      </w:r>
    </w:p>
    <w:p w:rsidR="00C97202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Ugovor je zaključen u iznosu 20.000.000,00 kn </w:t>
      </w:r>
      <w:r w:rsidR="00B26100">
        <w:rPr>
          <w:rFonts w:ascii="Times New Roman" w:hAnsi="Times New Roman"/>
          <w:sz w:val="24"/>
          <w:szCs w:val="24"/>
        </w:rPr>
        <w:t>preračunato u EUR po srednjem tečaju Hrvatske narodne banke na dan korištenja kredita</w:t>
      </w:r>
      <w:r w:rsidR="00C97202">
        <w:rPr>
          <w:rFonts w:ascii="Times New Roman" w:hAnsi="Times New Roman"/>
          <w:sz w:val="24"/>
          <w:szCs w:val="24"/>
        </w:rPr>
        <w:t xml:space="preserve"> na rok 10 godina (u koje je uključeno razdoblje počeka od 2 godine).</w:t>
      </w:r>
    </w:p>
    <w:p w:rsidR="00C97202" w:rsidRDefault="00B26100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97202">
        <w:rPr>
          <w:rFonts w:ascii="Times New Roman" w:hAnsi="Times New Roman"/>
          <w:sz w:val="24"/>
          <w:szCs w:val="24"/>
        </w:rPr>
        <w:t>Kamatna  stopa:</w:t>
      </w:r>
    </w:p>
    <w:p w:rsidR="00C97202" w:rsidRDefault="00587867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Redovna: </w:t>
      </w:r>
      <w:r w:rsidR="00C97202">
        <w:rPr>
          <w:rFonts w:ascii="Times New Roman" w:hAnsi="Times New Roman"/>
          <w:sz w:val="24"/>
          <w:szCs w:val="24"/>
        </w:rPr>
        <w:t xml:space="preserve"> fiksna</w:t>
      </w:r>
      <w:r w:rsidR="00DE2D5F">
        <w:rPr>
          <w:rFonts w:ascii="Times New Roman" w:hAnsi="Times New Roman"/>
          <w:sz w:val="24"/>
          <w:szCs w:val="24"/>
        </w:rPr>
        <w:t xml:space="preserve"> u iznosu 3,60%</w:t>
      </w:r>
      <w:r w:rsidR="00C97202">
        <w:rPr>
          <w:rFonts w:ascii="Times New Roman" w:hAnsi="Times New Roman"/>
          <w:sz w:val="24"/>
          <w:szCs w:val="24"/>
        </w:rPr>
        <w:t xml:space="preserve"> godišnje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C97202" w:rsidRDefault="00C97202" w:rsidP="00DE2D5F">
      <w:pPr>
        <w:ind w:left="1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i naplaćuje kvartalno, primjenom proporcionalne metode obračuna kamata, na bazi stvarnih dana korištenja sredstava, a naplaćuje se prvog dana kvartala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C97202" w:rsidRDefault="00C97202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po dospijeću: Na sve dospjele neplaćene tražbine po kreditu, osim na dospjelu nenaplaćenu kamatu, primjenjuje se kamatna stopa po dospijeću koja se utvrđuje u visini stope važeće zakonske zatezne kamate, te će Banka obračunati i naplatiti tako utvrđenu kamatu po dospijeću</w:t>
      </w:r>
      <w:r w:rsidR="004812E3">
        <w:rPr>
          <w:rFonts w:ascii="Times New Roman" w:hAnsi="Times New Roman"/>
          <w:sz w:val="24"/>
          <w:szCs w:val="24"/>
        </w:rPr>
        <w:t>. Ako je redovna kamatna stopa veća od kamatne stope po dospijeću, primj</w:t>
      </w:r>
      <w:r w:rsidR="00DE2D5F">
        <w:rPr>
          <w:rFonts w:ascii="Times New Roman" w:hAnsi="Times New Roman"/>
          <w:sz w:val="24"/>
          <w:szCs w:val="24"/>
        </w:rPr>
        <w:t>enjuje se redovna kamatna stopa.</w:t>
      </w:r>
    </w:p>
    <w:p w:rsidR="004812E3" w:rsidRDefault="004812E3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Interkalarna: jednaka redovnoj i obračunavala se i naplaćivala kvartalno na iskorišteni iznos kredita</w:t>
      </w:r>
      <w:r w:rsidR="00DE2D5F">
        <w:rPr>
          <w:rFonts w:ascii="Times New Roman" w:hAnsi="Times New Roman"/>
          <w:sz w:val="24"/>
          <w:szCs w:val="24"/>
        </w:rPr>
        <w:t>.</w:t>
      </w:r>
    </w:p>
    <w:p w:rsidR="004812E3" w:rsidRDefault="004812E3" w:rsidP="00DE2D5F">
      <w:pPr>
        <w:jc w:val="both"/>
        <w:rPr>
          <w:rFonts w:ascii="Times New Roman" w:hAnsi="Times New Roman"/>
          <w:sz w:val="24"/>
          <w:szCs w:val="24"/>
        </w:rPr>
      </w:pPr>
    </w:p>
    <w:p w:rsidR="00BC3D44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Razdoblje počeka počelo je teći od dana iskorištenja cjelokupnog kredita i trajalo je do 01. listopada 2016. godine. </w:t>
      </w:r>
    </w:p>
    <w:p w:rsidR="00B26100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Kredit se otplaćuje u 32 </w:t>
      </w:r>
      <w:r w:rsidR="00B26100">
        <w:rPr>
          <w:rFonts w:ascii="Times New Roman" w:hAnsi="Times New Roman"/>
          <w:sz w:val="24"/>
          <w:szCs w:val="24"/>
        </w:rPr>
        <w:t xml:space="preserve">(tridesetdvije) </w:t>
      </w:r>
      <w:r>
        <w:rPr>
          <w:rFonts w:ascii="Times New Roman" w:hAnsi="Times New Roman"/>
          <w:sz w:val="24"/>
          <w:szCs w:val="24"/>
        </w:rPr>
        <w:t xml:space="preserve">jednake kvartalne rate, prvog dana kvartala, u protuvrijednosti kuna iznosa iskazanog u EUR uz primjenu srednjeg tečaja HNB na dan vraćanja kredita. </w:t>
      </w:r>
    </w:p>
    <w:p w:rsidR="00B26100" w:rsidRDefault="00AA4915" w:rsidP="00A477A7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A4915">
        <w:rPr>
          <w:rFonts w:ascii="Times New Roman" w:hAnsi="Times New Roman"/>
          <w:sz w:val="24"/>
          <w:szCs w:val="24"/>
        </w:rPr>
        <w:lastRenderedPageBreak/>
        <w:t>Prva rata kredita dospjela je na naplatu prvog dana kvartala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4915">
        <w:rPr>
          <w:rFonts w:ascii="Times New Roman" w:hAnsi="Times New Roman"/>
          <w:sz w:val="24"/>
          <w:szCs w:val="24"/>
        </w:rPr>
        <w:t xml:space="preserve">po isteku počeka odnosno 01. </w:t>
      </w:r>
      <w:r>
        <w:rPr>
          <w:rFonts w:ascii="Times New Roman" w:hAnsi="Times New Roman"/>
          <w:sz w:val="24"/>
          <w:szCs w:val="24"/>
        </w:rPr>
        <w:t>s</w:t>
      </w:r>
      <w:r w:rsidRPr="00AA4915">
        <w:rPr>
          <w:rFonts w:ascii="Times New Roman" w:hAnsi="Times New Roman"/>
          <w:sz w:val="24"/>
          <w:szCs w:val="24"/>
        </w:rPr>
        <w:t xml:space="preserve">iječnja 2017. </w:t>
      </w:r>
      <w:r w:rsidR="00BC3D44">
        <w:rPr>
          <w:rFonts w:ascii="Times New Roman" w:hAnsi="Times New Roman"/>
          <w:sz w:val="24"/>
          <w:szCs w:val="24"/>
        </w:rPr>
        <w:t>godine, a</w:t>
      </w:r>
      <w:r w:rsidR="003F2952">
        <w:rPr>
          <w:rFonts w:ascii="Times New Roman" w:hAnsi="Times New Roman"/>
          <w:sz w:val="24"/>
          <w:szCs w:val="24"/>
        </w:rPr>
        <w:t xml:space="preserve"> </w:t>
      </w:r>
      <w:r w:rsidR="00ED417A">
        <w:rPr>
          <w:rFonts w:ascii="Times New Roman" w:hAnsi="Times New Roman"/>
          <w:sz w:val="24"/>
          <w:szCs w:val="24"/>
        </w:rPr>
        <w:t xml:space="preserve">posljednja </w:t>
      </w:r>
      <w:r w:rsidR="003F2952">
        <w:rPr>
          <w:rFonts w:ascii="Times New Roman" w:hAnsi="Times New Roman"/>
          <w:sz w:val="24"/>
          <w:szCs w:val="24"/>
        </w:rPr>
        <w:t>dospijeva 01. listopada 2024. g</w:t>
      </w:r>
      <w:r w:rsidR="00BC3D44">
        <w:rPr>
          <w:rFonts w:ascii="Times New Roman" w:hAnsi="Times New Roman"/>
          <w:sz w:val="24"/>
          <w:szCs w:val="24"/>
        </w:rPr>
        <w:t>odine.</w:t>
      </w:r>
    </w:p>
    <w:p w:rsidR="00BC3D44" w:rsidRDefault="00BC3D44" w:rsidP="00B26100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Iznosi otplata po dugoročnom kreditu Zagrebačke banke d.d.  raspoređeni prema dospijeću u narednim godinama</w:t>
      </w:r>
      <w:r w:rsidR="003F0741">
        <w:rPr>
          <w:rFonts w:ascii="Times New Roman" w:hAnsi="Times New Roman"/>
          <w:sz w:val="24"/>
          <w:szCs w:val="24"/>
        </w:rPr>
        <w:t xml:space="preserve"> pod dostavljenom otplatnom planu u kunama</w:t>
      </w:r>
      <w:r w:rsidR="00B26100">
        <w:rPr>
          <w:rFonts w:ascii="Times New Roman" w:hAnsi="Times New Roman"/>
          <w:sz w:val="24"/>
          <w:szCs w:val="24"/>
        </w:rPr>
        <w:t>:</w:t>
      </w:r>
    </w:p>
    <w:p w:rsidR="00BC3D44" w:rsidRDefault="00BC3D44" w:rsidP="00F45F44">
      <w:pPr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 w:firstRow="1" w:lastRow="0" w:firstColumn="1" w:lastColumn="0" w:noHBand="0" w:noVBand="1"/>
      </w:tblPr>
      <w:tblGrid>
        <w:gridCol w:w="2690"/>
        <w:gridCol w:w="1802"/>
        <w:gridCol w:w="1517"/>
        <w:gridCol w:w="2831"/>
      </w:tblGrid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ZAGREBAČKA BANKA, DUGOROČNI KREDIT</w:t>
            </w:r>
          </w:p>
        </w:tc>
      </w:tr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UGOVORENI IZNOS KREDITA 20.000.000,00 KN</w:t>
            </w:r>
          </w:p>
        </w:tc>
      </w:tr>
      <w:tr w:rsidR="009879C0" w:rsidRPr="009879C0" w:rsidTr="00DE2D5F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DD594E" w:rsidRDefault="00DE2D5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TEF</w:t>
            </w:r>
            <w:r w:rsidR="00E37A4A"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 xml:space="preserve"> i ostale kapitalne investicije</w:t>
            </w:r>
            <w:r w:rsidR="009879C0" w:rsidRPr="00DD5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000B57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DOSPIJEĆE/</w:t>
            </w:r>
            <w:r w:rsidR="00DE2D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OTPLATNA RATA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416.559,90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2.916.559,90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325.971,26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2.825.971,26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236.219,18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2.736.219,18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146.219,17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2.646.219,17</w:t>
            </w:r>
          </w:p>
        </w:tc>
      </w:tr>
      <w:tr w:rsidR="009879C0" w:rsidRPr="009879C0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56.311,98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C0" w:rsidRPr="009879C0" w:rsidRDefault="009879C0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79C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2.556.311,98</w:t>
            </w:r>
          </w:p>
        </w:tc>
      </w:tr>
    </w:tbl>
    <w:p w:rsidR="00BC3D44" w:rsidRPr="00AA4915" w:rsidRDefault="00BC3D44" w:rsidP="002A419E">
      <w:pPr>
        <w:rPr>
          <w:rFonts w:ascii="Times New Roman" w:hAnsi="Times New Roman"/>
          <w:sz w:val="24"/>
          <w:szCs w:val="24"/>
        </w:rPr>
      </w:pPr>
    </w:p>
    <w:p w:rsidR="004D3988" w:rsidRDefault="004D3988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A477A7" w:rsidRDefault="00A477A7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E015A" w:rsidRDefault="00CE015A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6B4502" w:rsidRPr="00E3655D" w:rsidRDefault="006B4502" w:rsidP="00E3655D">
      <w:pPr>
        <w:ind w:firstLine="708"/>
        <w:rPr>
          <w:rFonts w:ascii="Times New Roman" w:hAnsi="Times New Roman"/>
          <w:sz w:val="24"/>
          <w:szCs w:val="24"/>
        </w:rPr>
      </w:pPr>
    </w:p>
    <w:p w:rsidR="00C03415" w:rsidRDefault="00BE5B4E" w:rsidP="006F0C9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FE7">
        <w:rPr>
          <w:rFonts w:ascii="Times New Roman" w:hAnsi="Times New Roman"/>
          <w:sz w:val="24"/>
          <w:szCs w:val="24"/>
        </w:rPr>
        <w:t>Grad Šibenik</w:t>
      </w:r>
      <w:r w:rsidR="00DE2D5F">
        <w:rPr>
          <w:rFonts w:ascii="Times New Roman" w:hAnsi="Times New Roman"/>
          <w:sz w:val="24"/>
          <w:szCs w:val="24"/>
        </w:rPr>
        <w:t xml:space="preserve"> je s</w:t>
      </w:r>
      <w:r w:rsidR="006A00A0">
        <w:rPr>
          <w:rFonts w:ascii="Times New Roman" w:hAnsi="Times New Roman"/>
          <w:sz w:val="24"/>
          <w:szCs w:val="24"/>
        </w:rPr>
        <w:t xml:space="preserve"> M</w:t>
      </w:r>
      <w:r w:rsidR="00EB54D7">
        <w:rPr>
          <w:rFonts w:ascii="Times New Roman" w:hAnsi="Times New Roman"/>
          <w:sz w:val="24"/>
          <w:szCs w:val="24"/>
        </w:rPr>
        <w:t>inistarstvom financija zaključi</w:t>
      </w:r>
      <w:r w:rsidR="006A00A0">
        <w:rPr>
          <w:rFonts w:ascii="Times New Roman" w:hAnsi="Times New Roman"/>
          <w:sz w:val="24"/>
          <w:szCs w:val="24"/>
        </w:rPr>
        <w:t xml:space="preserve">o </w:t>
      </w:r>
      <w:r w:rsidR="00FD19DA">
        <w:rPr>
          <w:rFonts w:ascii="Times New Roman" w:hAnsi="Times New Roman"/>
          <w:sz w:val="24"/>
          <w:szCs w:val="24"/>
        </w:rPr>
        <w:t xml:space="preserve">20. srpnja 2016. godine </w:t>
      </w:r>
      <w:r w:rsidRPr="00095FE7">
        <w:rPr>
          <w:rFonts w:ascii="Times New Roman" w:hAnsi="Times New Roman"/>
          <w:sz w:val="24"/>
          <w:szCs w:val="24"/>
        </w:rPr>
        <w:t xml:space="preserve">Ugovor o zajmu za sufinanciranje </w:t>
      </w:r>
      <w:r w:rsidR="00EB54D7">
        <w:rPr>
          <w:rFonts w:ascii="Times New Roman" w:hAnsi="Times New Roman"/>
          <w:sz w:val="24"/>
          <w:szCs w:val="24"/>
        </w:rPr>
        <w:t>EU projekata -Izgradnja</w:t>
      </w:r>
      <w:r w:rsidRPr="00095FE7">
        <w:rPr>
          <w:rFonts w:ascii="Times New Roman" w:hAnsi="Times New Roman"/>
          <w:sz w:val="24"/>
          <w:szCs w:val="24"/>
        </w:rPr>
        <w:t xml:space="preserve"> Regionalnog centra za gospodarenje otpadom Bikarac </w:t>
      </w:r>
      <w:r w:rsidR="00EB54D7">
        <w:rPr>
          <w:rFonts w:ascii="Times New Roman" w:hAnsi="Times New Roman"/>
          <w:sz w:val="24"/>
          <w:szCs w:val="24"/>
        </w:rPr>
        <w:t xml:space="preserve">faza </w:t>
      </w:r>
      <w:r w:rsidRPr="00095FE7">
        <w:rPr>
          <w:rFonts w:ascii="Times New Roman" w:hAnsi="Times New Roman"/>
          <w:sz w:val="24"/>
          <w:szCs w:val="24"/>
        </w:rPr>
        <w:t>II (Operativni program Zaštita okoliša)</w:t>
      </w:r>
      <w:r w:rsidR="00330A02">
        <w:rPr>
          <w:rFonts w:ascii="Times New Roman" w:hAnsi="Times New Roman"/>
          <w:sz w:val="24"/>
          <w:szCs w:val="24"/>
        </w:rPr>
        <w:t>.</w:t>
      </w:r>
    </w:p>
    <w:p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719C5" w:rsidRDefault="00EB54D7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Maksimalni iznos zajma</w:t>
      </w:r>
      <w:r w:rsidR="003719C5">
        <w:rPr>
          <w:rFonts w:ascii="Times New Roman" w:hAnsi="Times New Roman"/>
          <w:sz w:val="24"/>
          <w:szCs w:val="24"/>
        </w:rPr>
        <w:t xml:space="preserve"> je, </w:t>
      </w:r>
      <w:r w:rsidR="003719C5" w:rsidRPr="00095FE7">
        <w:rPr>
          <w:rFonts w:ascii="Times New Roman" w:hAnsi="Times New Roman"/>
          <w:sz w:val="24"/>
          <w:szCs w:val="24"/>
        </w:rPr>
        <w:t>sukladno prethodno donesenoj Odluci Gradskog vijeća Grada Šibenika o davanju suglasnosti za osiguranje sredstava lokalnog sufinanciranja za II. fazu projekta (Klasa: 400-09/15</w:t>
      </w:r>
      <w:r w:rsidR="003719C5">
        <w:rPr>
          <w:rFonts w:ascii="Times New Roman" w:hAnsi="Times New Roman"/>
          <w:sz w:val="24"/>
          <w:szCs w:val="24"/>
        </w:rPr>
        <w:t>-01/2, Urbroj: 2182/01-01-15-1),</w:t>
      </w:r>
      <w:r w:rsidR="003719C5" w:rsidRPr="00095F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 </w:t>
      </w:r>
      <w:r w:rsidR="00330A02">
        <w:rPr>
          <w:rFonts w:ascii="Times New Roman" w:hAnsi="Times New Roman"/>
          <w:sz w:val="24"/>
          <w:szCs w:val="24"/>
        </w:rPr>
        <w:t>odobren</w:t>
      </w:r>
      <w:r w:rsidR="00BE5B4E" w:rsidRPr="00095FE7">
        <w:rPr>
          <w:rFonts w:ascii="Times New Roman" w:hAnsi="Times New Roman"/>
          <w:sz w:val="24"/>
          <w:szCs w:val="24"/>
        </w:rPr>
        <w:t xml:space="preserve"> u iznosu 18.200.000,00 kn uz fiksnu kamatnu stopu </w:t>
      </w:r>
      <w:r w:rsidR="003719C5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cijelo vrijeme trajanja zajma, a koja </w:t>
      </w:r>
      <w:r w:rsidR="003719C5">
        <w:rPr>
          <w:rFonts w:ascii="Times New Roman" w:hAnsi="Times New Roman"/>
          <w:sz w:val="24"/>
          <w:szCs w:val="24"/>
        </w:rPr>
        <w:t>iznosi 1,328%.</w:t>
      </w:r>
    </w:p>
    <w:p w:rsidR="003719C5" w:rsidRDefault="003719C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03415" w:rsidRDefault="00DE2D5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Zajam se otplaćuje</w:t>
      </w:r>
      <w:r w:rsidR="00EA27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sukcesivno u roku </w:t>
      </w:r>
      <w:r w:rsidR="00BE5B4E" w:rsidRPr="00095FE7">
        <w:rPr>
          <w:rFonts w:ascii="Times New Roman" w:hAnsi="Times New Roman"/>
          <w:sz w:val="24"/>
          <w:szCs w:val="24"/>
        </w:rPr>
        <w:t xml:space="preserve">od 25 godina uključujući </w:t>
      </w:r>
      <w:r w:rsidR="003719C5">
        <w:rPr>
          <w:rFonts w:ascii="Times New Roman" w:hAnsi="Times New Roman"/>
          <w:sz w:val="24"/>
          <w:szCs w:val="24"/>
        </w:rPr>
        <w:t xml:space="preserve">i </w:t>
      </w:r>
      <w:r w:rsidR="00BE5B4E" w:rsidRPr="00095FE7">
        <w:rPr>
          <w:rFonts w:ascii="Times New Roman" w:hAnsi="Times New Roman"/>
          <w:sz w:val="24"/>
          <w:szCs w:val="24"/>
        </w:rPr>
        <w:t>poček od 5 godina</w:t>
      </w:r>
      <w:r w:rsidR="003719C5">
        <w:rPr>
          <w:rFonts w:ascii="Times New Roman" w:hAnsi="Times New Roman"/>
          <w:sz w:val="24"/>
          <w:szCs w:val="24"/>
        </w:rPr>
        <w:t xml:space="preserve"> u 80 (osamdeset) jednakih tromjesečnih rata</w:t>
      </w:r>
      <w:r w:rsidR="003D2F04">
        <w:rPr>
          <w:rFonts w:ascii="Times New Roman" w:hAnsi="Times New Roman"/>
          <w:sz w:val="24"/>
          <w:szCs w:val="24"/>
        </w:rPr>
        <w:t>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D2F04" w:rsidRDefault="006F0C9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od prvo</w:t>
      </w:r>
      <w:r w:rsidR="003D2F04">
        <w:rPr>
          <w:rFonts w:ascii="Times New Roman" w:hAnsi="Times New Roman"/>
          <w:sz w:val="24"/>
          <w:szCs w:val="24"/>
        </w:rPr>
        <w:t>g korištenja zajma, a naplaćuje se nakon isteka počeka, u 80 (osamdeset) jednakih tromjesečnih rata.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3D2F04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 te naknade za prijevremenu otplatu zajma se ne obračunavaju.</w:t>
      </w:r>
    </w:p>
    <w:p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03415" w:rsidRDefault="00BE5B4E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72383">
        <w:rPr>
          <w:rFonts w:ascii="Times New Roman" w:hAnsi="Times New Roman"/>
          <w:sz w:val="24"/>
          <w:szCs w:val="24"/>
        </w:rPr>
        <w:t xml:space="preserve">Ugovorom je utvrđeno da se sredstva uplaćuju na račun Bikarac d.o.o. prema dospijeću plaćanja nacionalnog sufinanciranja, a nakon </w:t>
      </w:r>
      <w:r w:rsidR="00C72383">
        <w:rPr>
          <w:rFonts w:ascii="Times New Roman" w:hAnsi="Times New Roman"/>
          <w:sz w:val="24"/>
          <w:szCs w:val="24"/>
        </w:rPr>
        <w:t xml:space="preserve"> </w:t>
      </w:r>
      <w:r w:rsidRPr="00C72383">
        <w:rPr>
          <w:rFonts w:ascii="Times New Roman" w:hAnsi="Times New Roman"/>
          <w:sz w:val="24"/>
          <w:szCs w:val="24"/>
        </w:rPr>
        <w:t>urednog primitka p</w:t>
      </w:r>
      <w:r w:rsidR="00330A02">
        <w:rPr>
          <w:rFonts w:ascii="Times New Roman" w:hAnsi="Times New Roman"/>
          <w:sz w:val="24"/>
          <w:szCs w:val="24"/>
        </w:rPr>
        <w:t>otpisanog zahtjeva Zajmoprimca - Grada Šibenika</w:t>
      </w:r>
      <w:r w:rsidRPr="00C72383">
        <w:rPr>
          <w:rFonts w:ascii="Times New Roman" w:hAnsi="Times New Roman"/>
          <w:sz w:val="24"/>
          <w:szCs w:val="24"/>
        </w:rPr>
        <w:t>.</w:t>
      </w:r>
      <w:r w:rsidR="00C03415">
        <w:rPr>
          <w:rFonts w:ascii="Times New Roman" w:hAnsi="Times New Roman"/>
          <w:sz w:val="24"/>
          <w:szCs w:val="24"/>
        </w:rPr>
        <w:t xml:space="preserve"> </w:t>
      </w:r>
    </w:p>
    <w:p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297939" w:rsidRDefault="008D3AB7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3</w:t>
      </w:r>
      <w:r w:rsidR="005216D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="005216D5">
        <w:rPr>
          <w:rFonts w:ascii="Times New Roman" w:hAnsi="Times New Roman"/>
          <w:sz w:val="24"/>
          <w:szCs w:val="24"/>
        </w:rPr>
        <w:t>lipnja</w:t>
      </w:r>
      <w:r w:rsidR="00C03415">
        <w:rPr>
          <w:rFonts w:ascii="Times New Roman" w:hAnsi="Times New Roman"/>
          <w:sz w:val="24"/>
          <w:szCs w:val="24"/>
        </w:rPr>
        <w:t xml:space="preserve"> </w:t>
      </w:r>
      <w:r w:rsidR="0035002E">
        <w:rPr>
          <w:rFonts w:ascii="Times New Roman" w:hAnsi="Times New Roman"/>
          <w:sz w:val="24"/>
          <w:szCs w:val="24"/>
        </w:rPr>
        <w:t>20</w:t>
      </w:r>
      <w:r w:rsidR="005216D5">
        <w:rPr>
          <w:rFonts w:ascii="Times New Roman" w:hAnsi="Times New Roman"/>
          <w:sz w:val="24"/>
          <w:szCs w:val="24"/>
        </w:rPr>
        <w:t>20</w:t>
      </w:r>
      <w:r w:rsidR="00427189" w:rsidRPr="00C72383">
        <w:rPr>
          <w:rFonts w:ascii="Times New Roman" w:hAnsi="Times New Roman"/>
          <w:sz w:val="24"/>
          <w:szCs w:val="24"/>
        </w:rPr>
        <w:t xml:space="preserve">. godine Bikarac d.o.o. je povukao ukupno </w:t>
      </w:r>
      <w:r w:rsidR="005216D5">
        <w:rPr>
          <w:rFonts w:ascii="Times New Roman" w:hAnsi="Times New Roman"/>
          <w:sz w:val="24"/>
          <w:szCs w:val="24"/>
        </w:rPr>
        <w:t>11.555.846,21</w:t>
      </w:r>
      <w:r w:rsidR="00DE2D5F">
        <w:rPr>
          <w:rFonts w:ascii="Times New Roman" w:hAnsi="Times New Roman"/>
          <w:sz w:val="24"/>
          <w:szCs w:val="24"/>
        </w:rPr>
        <w:t xml:space="preserve"> kn sredstava odobrenog</w:t>
      </w:r>
      <w:r w:rsidR="00427189" w:rsidRPr="00C72383">
        <w:rPr>
          <w:rFonts w:ascii="Times New Roman" w:hAnsi="Times New Roman"/>
          <w:sz w:val="24"/>
          <w:szCs w:val="24"/>
        </w:rPr>
        <w:t xml:space="preserve"> Zajma.</w:t>
      </w:r>
    </w:p>
    <w:p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3655D" w:rsidRDefault="006F0C9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Dospijeće 1. rate je 5 godina od prvog korištenja zajma odnosno 30. rujna 2021. godine, a posljednja rata dospijeva 30. li</w:t>
      </w:r>
      <w:r w:rsidR="00DE2D5F">
        <w:rPr>
          <w:rFonts w:ascii="Times New Roman" w:hAnsi="Times New Roman"/>
          <w:sz w:val="24"/>
          <w:szCs w:val="24"/>
        </w:rPr>
        <w:t>pnja 2041.godine.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CE015A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201893" w:rsidRDefault="00201893" w:rsidP="00C614E1">
      <w:pPr>
        <w:jc w:val="both"/>
        <w:rPr>
          <w:rFonts w:ascii="Times New Roman" w:hAnsi="Times New Roman"/>
          <w:sz w:val="24"/>
          <w:szCs w:val="24"/>
        </w:rPr>
      </w:pPr>
    </w:p>
    <w:p w:rsidR="00201893" w:rsidRDefault="00201893" w:rsidP="006F0C9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CE015A" w:rsidRDefault="002A419E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Iznosi otplata po dugoročnom zajmu Ministarstva financija  </w:t>
      </w:r>
      <w:r w:rsidR="006F0C9F">
        <w:rPr>
          <w:rFonts w:ascii="Times New Roman" w:hAnsi="Times New Roman"/>
          <w:sz w:val="24"/>
          <w:szCs w:val="24"/>
        </w:rPr>
        <w:t xml:space="preserve">za projekt sufinanciranja EU IPA ISPA 2007-2011 – Grad Šibenik – Bikarac II </w:t>
      </w:r>
      <w:r>
        <w:rPr>
          <w:rFonts w:ascii="Times New Roman" w:hAnsi="Times New Roman"/>
          <w:sz w:val="24"/>
          <w:szCs w:val="24"/>
        </w:rPr>
        <w:t>raspoređeni prema dospijeću u narednim godinama po dostavl</w:t>
      </w:r>
      <w:r w:rsidR="00297939">
        <w:rPr>
          <w:rFonts w:ascii="Times New Roman" w:hAnsi="Times New Roman"/>
          <w:sz w:val="24"/>
          <w:szCs w:val="24"/>
        </w:rPr>
        <w:t>jenom otplatnom planu u kunama:</w:t>
      </w:r>
    </w:p>
    <w:p w:rsidR="00FD011F" w:rsidRDefault="00FD011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DE2D5F" w:rsidRP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16"/>
          <w:szCs w:val="16"/>
        </w:rPr>
      </w:pPr>
    </w:p>
    <w:tbl>
      <w:tblPr>
        <w:tblW w:w="4492" w:type="dxa"/>
        <w:tblInd w:w="1242" w:type="dxa"/>
        <w:tblLook w:val="04A0" w:firstRow="1" w:lastRow="0" w:firstColumn="1" w:lastColumn="0" w:noHBand="0" w:noVBand="1"/>
      </w:tblPr>
      <w:tblGrid>
        <w:gridCol w:w="2690"/>
        <w:gridCol w:w="1802"/>
      </w:tblGrid>
      <w:tr w:rsidR="00D44C53" w:rsidRPr="00F86DF7" w:rsidTr="00DE2D5F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4C53" w:rsidRPr="00F86DF7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MINISTARSTVO FINANCIJA</w:t>
            </w:r>
          </w:p>
        </w:tc>
      </w:tr>
      <w:tr w:rsidR="00D44C53" w:rsidRPr="00F86DF7" w:rsidTr="00DE2D5F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D44C53" w:rsidRPr="00F86DF7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UGOVORENI IZNOS ZAJMA</w:t>
            </w:r>
            <w:r w:rsid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– Bikarac II. faza</w:t>
            </w: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18.200.000,00 KN</w:t>
            </w:r>
          </w:p>
        </w:tc>
      </w:tr>
      <w:tr w:rsidR="00000B57" w:rsidRPr="00F86DF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57" w:rsidRPr="00F86DF7" w:rsidRDefault="00DC777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DOSPIJEĆE/</w:t>
            </w:r>
            <w:r w:rsidR="00DE2D5F"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B57" w:rsidRPr="00F86DF7" w:rsidRDefault="00466C97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ANUITET/kn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536.270,28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2029.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2039.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FD011F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2040.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11F" w:rsidRPr="00FD011F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1.072.540,56</w:t>
            </w:r>
          </w:p>
        </w:tc>
      </w:tr>
      <w:tr w:rsidR="00000B57" w:rsidRPr="00F86DF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57" w:rsidRPr="00F86DF7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86DF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2041.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B57" w:rsidRPr="00F86DF7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  </w:t>
            </w:r>
            <w:r w:rsidRPr="00FD011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536.270,28</w:t>
            </w:r>
          </w:p>
        </w:tc>
      </w:tr>
    </w:tbl>
    <w:p w:rsidR="00C614E1" w:rsidRDefault="00C614E1" w:rsidP="00975260">
      <w:pPr>
        <w:jc w:val="both"/>
        <w:rPr>
          <w:rFonts w:ascii="Times New Roman" w:hAnsi="Times New Roman"/>
          <w:sz w:val="24"/>
          <w:szCs w:val="24"/>
        </w:rPr>
      </w:pPr>
    </w:p>
    <w:p w:rsidR="00C614E1" w:rsidRPr="00C614E1" w:rsidRDefault="00C614E1" w:rsidP="00C614E1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lastRenderedPageBreak/>
        <w:t>Zbog ekonomskih posljedica uzrokovanih pandemijom korona virusa Covid-19 i mjera Vlade RH, koje su uzrokovale odnosno povećale nesrazmjer između dinamike priljeva sredstava i dospijeća obveza, osmišljene su i poduzete mjere pomoći jedinicama lokalne i područne (regionalne) samouprave koje su usmjerene na poboljšanje njihove likvidnosti i učinkovitije upravljanje proračunskim sredstvima. Name, dopunama Općeg poreznog zakona iz ožujka ove godine  omogućena je odgoda i /ili obročna otplata nastalih i /ili dospjelih poreznih obveza, u slučaju da posebne okolnosti utječu na mogućnost podmirivanja poreznih obveza. Dopunama istog Zakona iz travnja 2020. uvedena je mogućnost oslobođenja poreznih obveznika u cijelosti ili djelomično, ako im je zbog posebnih okolnosti odlukama nadležnog tijela rad zabranjen odnosno onemogućen ili znatno otežan.</w:t>
      </w:r>
    </w:p>
    <w:p w:rsidR="00C614E1" w:rsidRPr="00C614E1" w:rsidRDefault="00C614E1" w:rsidP="00A044B8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 xml:space="preserve"> Uz navedene mjere oslobađanja, odgode i /ili obročne otplate poreza i prireza na dohodak, značajno financijsko opterećenje za prihodovnu stranu Proračuna grada Šibenika predstavlja povrat poreza na dohodak i prireza porezu na dohodak po godišnjem obračunu, s obzirom na to da se povrat najvećim dijelom isplaćuje u jednom mjesecu na teret naplaćenih istovrsnih prihoda. Stoga je svim jedinicama dana mogućnost uzimanja beskamatnog zajma do visine poreza na dohodak i prirezu poreza na dohodak čije je plaćanje oslobođeno, odgođeno i/ili je odobrena obročna otplata odnosno do visine izvršenog povrata poreza na dohodak, a u svrhu premošćivanja situacije nastale zbog različite dinamike priljeva sredstava i dospijeća obveza.</w:t>
      </w:r>
    </w:p>
    <w:p w:rsidR="00BA293E" w:rsidRDefault="00C614E1" w:rsidP="00A044B8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 xml:space="preserve">Ministar financija donio je Naputak o načinu isplate beskamatnog zajma (NN br. 46/20), kojim se propisuje način ostvarivanja prava na beskamatni zajam, sustav izvještavanja te način vođenja evidencija. </w:t>
      </w:r>
    </w:p>
    <w:p w:rsidR="00BA293E" w:rsidRDefault="00C614E1" w:rsidP="00A044B8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>Sukladno navedenom, Grad Šibenik je podnio zahtjev Ministarstvu financija za beskamatni zajam, te je do 30.</w:t>
      </w:r>
      <w:r w:rsidR="00BA293E">
        <w:rPr>
          <w:rFonts w:ascii="Times New Roman" w:hAnsi="Times New Roman"/>
          <w:sz w:val="24"/>
          <w:szCs w:val="24"/>
        </w:rPr>
        <w:t xml:space="preserve"> lipnja</w:t>
      </w:r>
      <w:r w:rsidRPr="00C614E1">
        <w:rPr>
          <w:rFonts w:ascii="Times New Roman" w:hAnsi="Times New Roman"/>
          <w:sz w:val="24"/>
          <w:szCs w:val="24"/>
        </w:rPr>
        <w:t xml:space="preserve"> 2020. godine iskorišteno 11.123.553,53 kn, od čega je 7.932.042,77 kn isplaćeno po osnovi povrata poreza na dohodak po godišnjoj prijavi, a 3.191.510,76</w:t>
      </w:r>
      <w:r w:rsidR="00BA293E">
        <w:rPr>
          <w:rFonts w:ascii="Times New Roman" w:hAnsi="Times New Roman"/>
          <w:sz w:val="24"/>
          <w:szCs w:val="24"/>
        </w:rPr>
        <w:t xml:space="preserve"> </w:t>
      </w:r>
      <w:r w:rsidRPr="00C614E1">
        <w:rPr>
          <w:rFonts w:ascii="Times New Roman" w:hAnsi="Times New Roman"/>
          <w:sz w:val="24"/>
          <w:szCs w:val="24"/>
        </w:rPr>
        <w:t xml:space="preserve">kn po osnovi odgode poreza na dohodak. </w:t>
      </w:r>
    </w:p>
    <w:p w:rsidR="00C614E1" w:rsidRPr="00C614E1" w:rsidRDefault="00C614E1" w:rsidP="00A044B8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 xml:space="preserve">Mogućnost otplate zajma je najduže godinu dana, a evidentira se kao kratkoročni zajam na računu skupine 26 - obveze za kredite i zajmove. U slučaju da se beskamatni zajam ne vrati do kraja godine, preostali iznos glavnice će se evidentirati kao primitak od zaduživanja. </w:t>
      </w:r>
    </w:p>
    <w:p w:rsidR="00C614E1" w:rsidRPr="00C614E1" w:rsidRDefault="00C614E1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:rsidR="00C614E1" w:rsidRDefault="00C614E1" w:rsidP="00975260">
      <w:pPr>
        <w:jc w:val="both"/>
        <w:rPr>
          <w:rFonts w:ascii="Times New Roman" w:hAnsi="Times New Roman"/>
          <w:sz w:val="24"/>
          <w:szCs w:val="24"/>
        </w:rPr>
      </w:pPr>
    </w:p>
    <w:p w:rsidR="00786647" w:rsidRDefault="00F00120" w:rsidP="009752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Pravilniku o polugodišnjem i godišnjem izvještaju o izvršenju proračuna („Narodne novine“ broj 24/13, 102/17 i 01/20), s</w:t>
      </w:r>
      <w:r w:rsidR="00786647" w:rsidRPr="00786647">
        <w:rPr>
          <w:rFonts w:ascii="Times New Roman" w:hAnsi="Times New Roman"/>
          <w:sz w:val="24"/>
          <w:szCs w:val="24"/>
        </w:rPr>
        <w:t>astavni dio izvještaja</w:t>
      </w:r>
      <w:r w:rsidR="00786647">
        <w:rPr>
          <w:rFonts w:ascii="Times New Roman" w:hAnsi="Times New Roman"/>
          <w:sz w:val="24"/>
          <w:szCs w:val="24"/>
        </w:rPr>
        <w:t xml:space="preserve"> o zaduživanju je </w:t>
      </w:r>
      <w:r>
        <w:rPr>
          <w:rFonts w:ascii="Times New Roman" w:hAnsi="Times New Roman"/>
          <w:sz w:val="24"/>
          <w:szCs w:val="24"/>
        </w:rPr>
        <w:t xml:space="preserve">i </w:t>
      </w:r>
      <w:r w:rsidR="00786647">
        <w:rPr>
          <w:rFonts w:ascii="Times New Roman" w:hAnsi="Times New Roman"/>
          <w:sz w:val="24"/>
          <w:szCs w:val="24"/>
        </w:rPr>
        <w:t xml:space="preserve">izvještaj o zajmovima i potraživanjima za dane zajmove </w:t>
      </w:r>
      <w:r w:rsidR="00BE36B0">
        <w:rPr>
          <w:rFonts w:ascii="Times New Roman" w:hAnsi="Times New Roman"/>
          <w:sz w:val="24"/>
          <w:szCs w:val="24"/>
        </w:rPr>
        <w:t xml:space="preserve">pa se u nastavku </w:t>
      </w:r>
      <w:r w:rsidR="00786647">
        <w:rPr>
          <w:rFonts w:ascii="Times New Roman" w:hAnsi="Times New Roman"/>
          <w:sz w:val="24"/>
          <w:szCs w:val="24"/>
        </w:rPr>
        <w:t>za razdoblje od 01. siječnja do 3</w:t>
      </w:r>
      <w:r w:rsidR="00201893">
        <w:rPr>
          <w:rFonts w:ascii="Times New Roman" w:hAnsi="Times New Roman"/>
          <w:sz w:val="24"/>
          <w:szCs w:val="24"/>
        </w:rPr>
        <w:t>0</w:t>
      </w:r>
      <w:r w:rsidR="00786647">
        <w:rPr>
          <w:rFonts w:ascii="Times New Roman" w:hAnsi="Times New Roman"/>
          <w:sz w:val="24"/>
          <w:szCs w:val="24"/>
        </w:rPr>
        <w:t xml:space="preserve">. </w:t>
      </w:r>
      <w:r w:rsidR="00201893">
        <w:rPr>
          <w:rFonts w:ascii="Times New Roman" w:hAnsi="Times New Roman"/>
          <w:sz w:val="24"/>
          <w:szCs w:val="24"/>
        </w:rPr>
        <w:t>lipnja</w:t>
      </w:r>
      <w:r w:rsidR="00786647">
        <w:rPr>
          <w:rFonts w:ascii="Times New Roman" w:hAnsi="Times New Roman"/>
          <w:sz w:val="24"/>
          <w:szCs w:val="24"/>
        </w:rPr>
        <w:t xml:space="preserve"> 20</w:t>
      </w:r>
      <w:r w:rsidR="00201893">
        <w:rPr>
          <w:rFonts w:ascii="Times New Roman" w:hAnsi="Times New Roman"/>
          <w:sz w:val="24"/>
          <w:szCs w:val="24"/>
        </w:rPr>
        <w:t>20</w:t>
      </w:r>
      <w:r w:rsidR="00786647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daje pregled:</w:t>
      </w:r>
    </w:p>
    <w:p w:rsidR="00786647" w:rsidRDefault="00786647" w:rsidP="00B40173">
      <w:pPr>
        <w:rPr>
          <w:rFonts w:ascii="Times New Roman" w:hAnsi="Times New Roman"/>
          <w:sz w:val="24"/>
          <w:szCs w:val="24"/>
        </w:rPr>
      </w:pPr>
    </w:p>
    <w:tbl>
      <w:tblPr>
        <w:tblW w:w="12024" w:type="dxa"/>
        <w:tblInd w:w="118" w:type="dxa"/>
        <w:tblLook w:val="04A0" w:firstRow="1" w:lastRow="0" w:firstColumn="1" w:lastColumn="0" w:noHBand="0" w:noVBand="1"/>
      </w:tblPr>
      <w:tblGrid>
        <w:gridCol w:w="980"/>
        <w:gridCol w:w="4486"/>
        <w:gridCol w:w="3171"/>
        <w:gridCol w:w="1896"/>
        <w:gridCol w:w="1491"/>
      </w:tblGrid>
      <w:tr w:rsidR="00C46338" w:rsidRPr="00C46338" w:rsidTr="006C3969">
        <w:trPr>
          <w:trHeight w:val="330"/>
        </w:trPr>
        <w:tc>
          <w:tcPr>
            <w:tcW w:w="120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 w:rsidR="005E5165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(pozajmica/POS stanovi)</w:t>
            </w:r>
          </w:p>
        </w:tc>
      </w:tr>
      <w:tr w:rsidR="00AE5350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AE5350" w:rsidRPr="00C46338" w:rsidTr="006C3969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trgovačkim društvima </w:t>
            </w:r>
            <w:r w:rsidR="00B632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 obrtnicima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izvan javnog sektora – kratkoročni 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AE5350" w:rsidRPr="00C46338" w:rsidTr="006C3969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Stanje ukupnih potraživanja na 3</w:t>
            </w:r>
            <w:r w:rsid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06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AE5350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TEF D.D.</w:t>
            </w: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</w:t>
            </w:r>
            <w:r w:rsidR="00BC07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Kratkoročna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poz</w:t>
            </w:r>
            <w:r w:rsidR="00E435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ajmica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1.970.439,44</w:t>
            </w:r>
          </w:p>
        </w:tc>
        <w:tc>
          <w:tcPr>
            <w:tcW w:w="3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350" w:rsidRPr="00C46338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950.000,00</w:t>
            </w:r>
          </w:p>
        </w:tc>
      </w:tr>
      <w:tr w:rsidR="00AE5350" w:rsidRPr="00C46338" w:rsidTr="006C3969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350" w:rsidRPr="00C46338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1.970.439,44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5350" w:rsidRPr="009A0F42" w:rsidRDefault="009A0F42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950.000,00</w:t>
            </w: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:rsidTr="006C3969">
        <w:trPr>
          <w:trHeight w:val="33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6C3969" w:rsidRPr="00C46338" w:rsidTr="004662DD">
        <w:trPr>
          <w:trHeight w:val="46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neprofitnim organizacijama, građanima i kućanstvima - dugoročni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:rsidTr="0042180A">
        <w:trPr>
          <w:trHeight w:val="72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7E58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Stanje ukupnih potraživanja na 3</w:t>
            </w:r>
            <w:r w:rsidR="007E58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7E58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06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7E58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2020.</w:t>
            </w:r>
          </w:p>
        </w:tc>
      </w:tr>
      <w:tr w:rsidR="006C3969" w:rsidRPr="00C46338" w:rsidTr="0042180A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APN 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POS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stanovi na Meterizama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3969" w:rsidRPr="00C46338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1.676.765,59</w:t>
            </w:r>
          </w:p>
        </w:tc>
        <w:tc>
          <w:tcPr>
            <w:tcW w:w="3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969" w:rsidRPr="00C46338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1.439.916,54</w:t>
            </w:r>
          </w:p>
        </w:tc>
      </w:tr>
      <w:tr w:rsidR="006C3969" w:rsidRPr="00C46338" w:rsidTr="0042180A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969" w:rsidRPr="00C46338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5D2AA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1.676.765,59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969" w:rsidRPr="007E5832" w:rsidRDefault="007E5832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7E583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1.439.916,54</w:t>
            </w:r>
          </w:p>
        </w:tc>
      </w:tr>
      <w:tr w:rsidR="00C46338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B1443" w:rsidRPr="00C46338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:rsidR="005B1443" w:rsidRPr="00C46338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:rsidR="00AB2C45" w:rsidRPr="0075616A" w:rsidRDefault="00E4351C" w:rsidP="004662DD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C1650">
        <w:rPr>
          <w:rFonts w:ascii="Times New Roman" w:hAnsi="Times New Roman"/>
          <w:b/>
          <w:bCs/>
          <w:sz w:val="24"/>
          <w:szCs w:val="24"/>
        </w:rPr>
        <w:t>Tvornica elektroda i ferolegura Šibenik  dioničko društvo (dalje: TEF d.d.)</w:t>
      </w:r>
      <w:r>
        <w:rPr>
          <w:rFonts w:ascii="Times New Roman" w:hAnsi="Times New Roman"/>
          <w:sz w:val="24"/>
          <w:szCs w:val="24"/>
        </w:rPr>
        <w:t xml:space="preserve"> –  </w:t>
      </w:r>
      <w:r w:rsidRPr="0075616A">
        <w:rPr>
          <w:rFonts w:ascii="Times New Roman" w:hAnsi="Times New Roman"/>
          <w:sz w:val="24"/>
          <w:szCs w:val="24"/>
        </w:rPr>
        <w:t>Gradsko vijeće Grada Šibenika je 20. lipnja 2018.</w:t>
      </w:r>
      <w:r w:rsidR="001D6D6D" w:rsidRPr="0075616A">
        <w:rPr>
          <w:rFonts w:ascii="Times New Roman" w:hAnsi="Times New Roman"/>
          <w:sz w:val="24"/>
          <w:szCs w:val="24"/>
        </w:rPr>
        <w:t xml:space="preserve"> </w:t>
      </w:r>
      <w:r w:rsidRPr="0075616A">
        <w:rPr>
          <w:rFonts w:ascii="Times New Roman" w:hAnsi="Times New Roman"/>
          <w:sz w:val="24"/>
          <w:szCs w:val="24"/>
        </w:rPr>
        <w:t xml:space="preserve">godine donijelo Odluku o odobrenju </w:t>
      </w:r>
      <w:r w:rsidR="005F33DB" w:rsidRPr="0075616A">
        <w:rPr>
          <w:rFonts w:ascii="Times New Roman" w:hAnsi="Times New Roman"/>
          <w:sz w:val="24"/>
          <w:szCs w:val="24"/>
        </w:rPr>
        <w:t xml:space="preserve">kratkoročne </w:t>
      </w:r>
      <w:r w:rsidRPr="0075616A">
        <w:rPr>
          <w:rFonts w:ascii="Times New Roman" w:hAnsi="Times New Roman"/>
          <w:sz w:val="24"/>
          <w:szCs w:val="24"/>
        </w:rPr>
        <w:t>pozajmice TEF-u d.d. Šibenik</w:t>
      </w:r>
      <w:r w:rsidR="00491649" w:rsidRPr="0075616A">
        <w:rPr>
          <w:rFonts w:ascii="Times New Roman" w:hAnsi="Times New Roman"/>
          <w:sz w:val="24"/>
          <w:szCs w:val="24"/>
        </w:rPr>
        <w:t xml:space="preserve">  (KLASA: 400-01/18-01/29, URBROJ: 2182/01-06/1-18-3</w:t>
      </w:r>
      <w:r w:rsidR="004E0F87" w:rsidRPr="0075616A">
        <w:rPr>
          <w:rFonts w:ascii="Times New Roman" w:hAnsi="Times New Roman"/>
          <w:sz w:val="24"/>
          <w:szCs w:val="24"/>
        </w:rPr>
        <w:t>)</w:t>
      </w:r>
      <w:r w:rsidRPr="0075616A">
        <w:rPr>
          <w:rFonts w:ascii="Times New Roman" w:hAnsi="Times New Roman"/>
          <w:sz w:val="24"/>
          <w:szCs w:val="24"/>
        </w:rPr>
        <w:t xml:space="preserve"> u maksimalnom iznosu do 1.912.000,00 kn, a u svrhu </w:t>
      </w:r>
      <w:r w:rsidR="00C63130" w:rsidRPr="0075616A">
        <w:rPr>
          <w:rFonts w:ascii="Times New Roman" w:hAnsi="Times New Roman"/>
          <w:sz w:val="24"/>
          <w:szCs w:val="24"/>
        </w:rPr>
        <w:t>okončanja postupka sanacije opasnog otpada te rješavanja potraživanja vjerovnika temeljem pravomoćno izgubljenog sudskog spora Tef-a. Po istoj, Grad Šibenik je Tef-u d.d. isplatio 1.020.439,44 kn što čini početni saldo potraživanja</w:t>
      </w:r>
      <w:r w:rsidR="00F14111" w:rsidRPr="0075616A">
        <w:rPr>
          <w:rFonts w:ascii="Times New Roman" w:hAnsi="Times New Roman"/>
          <w:sz w:val="24"/>
          <w:szCs w:val="24"/>
        </w:rPr>
        <w:t xml:space="preserve"> na datum 01. siječnja 2019. godine</w:t>
      </w:r>
      <w:r w:rsidR="00841EEF">
        <w:rPr>
          <w:rFonts w:ascii="Times New Roman" w:hAnsi="Times New Roman"/>
          <w:sz w:val="24"/>
          <w:szCs w:val="24"/>
        </w:rPr>
        <w:t>.</w:t>
      </w:r>
    </w:p>
    <w:p w:rsidR="00682350" w:rsidRPr="0075616A" w:rsidRDefault="003A046D" w:rsidP="00682350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>Na temelju članka 48. Zakona o lokalnoj i područnoj (regionalnoj) samoupravi („Narodne novine“ br. 19/13, 137/15, 123/17</w:t>
      </w:r>
      <w:r w:rsidR="00841EEF">
        <w:rPr>
          <w:rFonts w:ascii="Times New Roman" w:hAnsi="Times New Roman"/>
          <w:sz w:val="24"/>
          <w:szCs w:val="24"/>
        </w:rPr>
        <w:t>, 98/19</w:t>
      </w:r>
      <w:r w:rsidRPr="0075616A">
        <w:rPr>
          <w:rFonts w:ascii="Times New Roman" w:hAnsi="Times New Roman"/>
          <w:sz w:val="24"/>
          <w:szCs w:val="24"/>
        </w:rPr>
        <w:t>) i čl. 46. Statuta Grada Šibenika Gradonačelnik grada Šibenika odluč</w:t>
      </w:r>
      <w:r w:rsidR="008208AC" w:rsidRPr="0075616A">
        <w:rPr>
          <w:rFonts w:ascii="Times New Roman" w:hAnsi="Times New Roman"/>
          <w:sz w:val="24"/>
          <w:szCs w:val="24"/>
        </w:rPr>
        <w:t xml:space="preserve">ivao je </w:t>
      </w:r>
      <w:r w:rsidRPr="0075616A">
        <w:rPr>
          <w:rFonts w:ascii="Times New Roman" w:hAnsi="Times New Roman"/>
          <w:sz w:val="24"/>
          <w:szCs w:val="24"/>
        </w:rPr>
        <w:t>o stjecanju i otuđivanju pokretnina i nekretnina, odnosno raspolaga</w:t>
      </w:r>
      <w:r w:rsidR="008208AC" w:rsidRPr="0075616A">
        <w:rPr>
          <w:rFonts w:ascii="Times New Roman" w:hAnsi="Times New Roman"/>
          <w:sz w:val="24"/>
          <w:szCs w:val="24"/>
        </w:rPr>
        <w:t>o</w:t>
      </w:r>
      <w:r w:rsidRPr="0075616A">
        <w:rPr>
          <w:rFonts w:ascii="Times New Roman" w:hAnsi="Times New Roman"/>
          <w:sz w:val="24"/>
          <w:szCs w:val="24"/>
        </w:rPr>
        <w:t xml:space="preserve"> ostalom imovinom čija pojedinačna vrijednost za 2019. godinu n</w:t>
      </w:r>
      <w:r w:rsidR="008208AC" w:rsidRPr="0075616A">
        <w:rPr>
          <w:rFonts w:ascii="Times New Roman" w:hAnsi="Times New Roman"/>
          <w:sz w:val="24"/>
          <w:szCs w:val="24"/>
        </w:rPr>
        <w:t>ije</w:t>
      </w:r>
      <w:r w:rsidRPr="0075616A">
        <w:rPr>
          <w:rFonts w:ascii="Times New Roman" w:hAnsi="Times New Roman"/>
          <w:sz w:val="24"/>
          <w:szCs w:val="24"/>
        </w:rPr>
        <w:t xml:space="preserve"> prelazi</w:t>
      </w:r>
      <w:r w:rsidR="008208AC" w:rsidRPr="0075616A">
        <w:rPr>
          <w:rFonts w:ascii="Times New Roman" w:hAnsi="Times New Roman"/>
          <w:sz w:val="24"/>
          <w:szCs w:val="24"/>
        </w:rPr>
        <w:t>la</w:t>
      </w:r>
      <w:r w:rsidRPr="0075616A">
        <w:rPr>
          <w:rFonts w:ascii="Times New Roman" w:hAnsi="Times New Roman"/>
          <w:sz w:val="24"/>
          <w:szCs w:val="24"/>
        </w:rPr>
        <w:t xml:space="preserve"> iznos od 959.863,81 kuna</w:t>
      </w:r>
      <w:r w:rsidR="00207C43" w:rsidRPr="0075616A">
        <w:rPr>
          <w:rFonts w:ascii="Times New Roman" w:hAnsi="Times New Roman"/>
          <w:sz w:val="24"/>
          <w:szCs w:val="24"/>
        </w:rPr>
        <w:t>.</w:t>
      </w:r>
      <w:r w:rsidR="00672BA4" w:rsidRPr="0075616A">
        <w:rPr>
          <w:rFonts w:ascii="Times New Roman" w:hAnsi="Times New Roman"/>
          <w:sz w:val="24"/>
          <w:szCs w:val="24"/>
        </w:rPr>
        <w:t xml:space="preserve"> U </w:t>
      </w:r>
      <w:r w:rsidRPr="0075616A">
        <w:rPr>
          <w:rFonts w:ascii="Times New Roman" w:hAnsi="Times New Roman"/>
          <w:sz w:val="24"/>
          <w:szCs w:val="24"/>
        </w:rPr>
        <w:t xml:space="preserve">2019. godini </w:t>
      </w:r>
      <w:r w:rsidR="00491649" w:rsidRPr="0075616A">
        <w:rPr>
          <w:rFonts w:ascii="Times New Roman" w:hAnsi="Times New Roman"/>
          <w:sz w:val="24"/>
          <w:szCs w:val="24"/>
        </w:rPr>
        <w:t>Tef-u d.d.</w:t>
      </w:r>
      <w:r w:rsidR="00207C43" w:rsidRPr="0075616A">
        <w:rPr>
          <w:rFonts w:ascii="Times New Roman" w:hAnsi="Times New Roman"/>
          <w:sz w:val="24"/>
          <w:szCs w:val="24"/>
        </w:rPr>
        <w:t xml:space="preserve"> je </w:t>
      </w:r>
      <w:r w:rsidR="007A21FE" w:rsidRPr="0075616A">
        <w:rPr>
          <w:rFonts w:ascii="Times New Roman" w:hAnsi="Times New Roman"/>
          <w:sz w:val="24"/>
          <w:szCs w:val="24"/>
        </w:rPr>
        <w:t>isplaćen</w:t>
      </w:r>
      <w:r w:rsidR="007408C5" w:rsidRPr="0075616A">
        <w:rPr>
          <w:rFonts w:ascii="Times New Roman" w:hAnsi="Times New Roman"/>
          <w:sz w:val="24"/>
          <w:szCs w:val="24"/>
        </w:rPr>
        <w:t xml:space="preserve">o </w:t>
      </w:r>
      <w:r w:rsidR="007A21FE" w:rsidRPr="0075616A">
        <w:rPr>
          <w:rFonts w:ascii="Times New Roman" w:hAnsi="Times New Roman"/>
          <w:sz w:val="24"/>
          <w:szCs w:val="24"/>
        </w:rPr>
        <w:t xml:space="preserve">950.000,00 kn </w:t>
      </w:r>
      <w:r w:rsidR="00F14111" w:rsidRPr="0075616A">
        <w:rPr>
          <w:rFonts w:ascii="Times New Roman" w:hAnsi="Times New Roman"/>
          <w:sz w:val="24"/>
          <w:szCs w:val="24"/>
        </w:rPr>
        <w:t xml:space="preserve">na </w:t>
      </w:r>
      <w:r w:rsidR="007A21FE" w:rsidRPr="0075616A">
        <w:rPr>
          <w:rFonts w:ascii="Times New Roman" w:hAnsi="Times New Roman"/>
          <w:sz w:val="24"/>
          <w:szCs w:val="24"/>
        </w:rPr>
        <w:t>osnovu Zaključka Gradonačelnika Grada Šibenika o odobrenju</w:t>
      </w:r>
      <w:r w:rsidRPr="0075616A">
        <w:rPr>
          <w:rFonts w:ascii="Times New Roman" w:hAnsi="Times New Roman"/>
          <w:sz w:val="24"/>
          <w:szCs w:val="24"/>
        </w:rPr>
        <w:t xml:space="preserve"> </w:t>
      </w:r>
      <w:r w:rsidR="00672BA4" w:rsidRPr="0075616A">
        <w:rPr>
          <w:rFonts w:ascii="Times New Roman" w:hAnsi="Times New Roman"/>
          <w:sz w:val="24"/>
          <w:szCs w:val="24"/>
        </w:rPr>
        <w:t xml:space="preserve">kratkoročne </w:t>
      </w:r>
      <w:r w:rsidR="007A21FE" w:rsidRPr="0075616A">
        <w:rPr>
          <w:rFonts w:ascii="Times New Roman" w:hAnsi="Times New Roman"/>
          <w:sz w:val="24"/>
          <w:szCs w:val="24"/>
        </w:rPr>
        <w:t>pozajmice (KLASA: 402-01/18-01/60, URBROJ: 2182/01-07/1-19-2) i Ugovora o zajmu i sporazuma radi osiguranja novčane tražbine</w:t>
      </w:r>
      <w:r w:rsidR="001B22CF" w:rsidRPr="0075616A">
        <w:rPr>
          <w:rFonts w:ascii="Times New Roman" w:hAnsi="Times New Roman"/>
          <w:sz w:val="24"/>
          <w:szCs w:val="24"/>
        </w:rPr>
        <w:t xml:space="preserve"> prijenosom vlasništva</w:t>
      </w:r>
      <w:r w:rsidR="00672BA4" w:rsidRPr="0075616A">
        <w:rPr>
          <w:rFonts w:ascii="Times New Roman" w:hAnsi="Times New Roman"/>
          <w:sz w:val="24"/>
          <w:szCs w:val="24"/>
        </w:rPr>
        <w:t xml:space="preserve"> ukoliko se pozajmica ne vrati u roku godine dana</w:t>
      </w:r>
      <w:r w:rsidR="007A21FE" w:rsidRPr="0075616A">
        <w:rPr>
          <w:rFonts w:ascii="Times New Roman" w:hAnsi="Times New Roman"/>
          <w:sz w:val="24"/>
          <w:szCs w:val="24"/>
        </w:rPr>
        <w:t xml:space="preserve"> (KLASA:</w:t>
      </w:r>
      <w:r w:rsidR="008B2E99" w:rsidRPr="0075616A">
        <w:rPr>
          <w:rFonts w:ascii="Times New Roman" w:hAnsi="Times New Roman"/>
          <w:sz w:val="24"/>
          <w:szCs w:val="24"/>
        </w:rPr>
        <w:t xml:space="preserve"> </w:t>
      </w:r>
      <w:r w:rsidR="007A21FE" w:rsidRPr="0075616A">
        <w:rPr>
          <w:rFonts w:ascii="Times New Roman" w:hAnsi="Times New Roman"/>
          <w:sz w:val="24"/>
          <w:szCs w:val="24"/>
        </w:rPr>
        <w:t>942-01/19-01/60, URBROJ: 2182/01-07-19-3)</w:t>
      </w:r>
      <w:r w:rsidR="005F78B4" w:rsidRPr="0075616A">
        <w:rPr>
          <w:rFonts w:ascii="Times New Roman" w:hAnsi="Times New Roman"/>
          <w:sz w:val="24"/>
          <w:szCs w:val="24"/>
        </w:rPr>
        <w:t xml:space="preserve"> pa je ukupni saldo potraživanja Grada prema TEF- u d.d. na datum 31. prosinca 2019. godine </w:t>
      </w:r>
      <w:r w:rsidR="00672BA4" w:rsidRPr="0075616A">
        <w:rPr>
          <w:rFonts w:ascii="Times New Roman" w:hAnsi="Times New Roman"/>
          <w:sz w:val="24"/>
          <w:szCs w:val="24"/>
        </w:rPr>
        <w:t xml:space="preserve"> odnosno 01. siječnja 2020. ukupno iznosio </w:t>
      </w:r>
      <w:r w:rsidR="005F78B4" w:rsidRPr="0075616A">
        <w:rPr>
          <w:rFonts w:ascii="Times New Roman" w:hAnsi="Times New Roman"/>
          <w:sz w:val="24"/>
          <w:szCs w:val="24"/>
        </w:rPr>
        <w:t>1.970.439,44 kn</w:t>
      </w:r>
      <w:r w:rsidR="0066726F" w:rsidRPr="0075616A">
        <w:rPr>
          <w:rFonts w:ascii="Times New Roman" w:hAnsi="Times New Roman"/>
          <w:sz w:val="24"/>
          <w:szCs w:val="24"/>
        </w:rPr>
        <w:t>.</w:t>
      </w:r>
    </w:p>
    <w:p w:rsidR="00682350" w:rsidRPr="0075616A" w:rsidRDefault="00672BA4" w:rsidP="00682350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 xml:space="preserve">Nastavno na navedeno, uvidom u evidenciju vjerovnika (Grad Šibenik) utvrđeno je da dužnik (Tef d.d.) u roku </w:t>
      </w:r>
      <w:r w:rsidR="00682350" w:rsidRPr="0075616A">
        <w:rPr>
          <w:rFonts w:ascii="Times New Roman" w:hAnsi="Times New Roman"/>
          <w:sz w:val="24"/>
          <w:szCs w:val="24"/>
        </w:rPr>
        <w:t xml:space="preserve">od jedne godine od sklapanja gore navedenih kratkoročnih pozajmica nije vratio pozajmljeni iznos </w:t>
      </w:r>
      <w:r w:rsidR="00A97475" w:rsidRPr="0075616A">
        <w:rPr>
          <w:rFonts w:ascii="Times New Roman" w:hAnsi="Times New Roman"/>
          <w:sz w:val="24"/>
          <w:szCs w:val="24"/>
        </w:rPr>
        <w:t xml:space="preserve"> uvećan za pripadajuću zakonsku kamatu od 4,55% </w:t>
      </w:r>
      <w:r w:rsidR="00682350" w:rsidRPr="0075616A">
        <w:rPr>
          <w:rFonts w:ascii="Times New Roman" w:hAnsi="Times New Roman"/>
          <w:sz w:val="24"/>
          <w:szCs w:val="24"/>
        </w:rPr>
        <w:t xml:space="preserve">te je Grad  Šibenik postupio sukladno </w:t>
      </w:r>
      <w:r w:rsidR="00A97475" w:rsidRPr="0075616A">
        <w:rPr>
          <w:rFonts w:ascii="Times New Roman" w:hAnsi="Times New Roman"/>
          <w:sz w:val="24"/>
          <w:szCs w:val="24"/>
        </w:rPr>
        <w:t xml:space="preserve">gore navedenim </w:t>
      </w:r>
      <w:r w:rsidR="00682350" w:rsidRPr="0075616A">
        <w:rPr>
          <w:rFonts w:ascii="Times New Roman" w:hAnsi="Times New Roman"/>
          <w:sz w:val="24"/>
          <w:szCs w:val="24"/>
        </w:rPr>
        <w:t>Ugovor</w:t>
      </w:r>
      <w:r w:rsidR="00A97475" w:rsidRPr="0075616A">
        <w:rPr>
          <w:rFonts w:ascii="Times New Roman" w:hAnsi="Times New Roman"/>
          <w:sz w:val="24"/>
          <w:szCs w:val="24"/>
        </w:rPr>
        <w:t>ima</w:t>
      </w:r>
      <w:r w:rsidR="00682350" w:rsidRPr="0075616A">
        <w:rPr>
          <w:rFonts w:ascii="Times New Roman" w:hAnsi="Times New Roman"/>
          <w:sz w:val="24"/>
          <w:szCs w:val="24"/>
        </w:rPr>
        <w:t xml:space="preserve"> te Sporazumu o uređenju međusobnih odnosa ( KLASA: 940-01/19-01/180, URBROJ: 2182/01-06-19-2) od 07. svibnja 2020. godine na način da se u  zemljišne knjige upiše prijenos prava vlasništva nekretnine označene kao kat. </w:t>
      </w:r>
      <w:r w:rsidR="00A97475" w:rsidRPr="0075616A">
        <w:rPr>
          <w:rFonts w:ascii="Times New Roman" w:hAnsi="Times New Roman"/>
          <w:sz w:val="24"/>
          <w:szCs w:val="24"/>
        </w:rPr>
        <w:t>č</w:t>
      </w:r>
      <w:r w:rsidR="00682350" w:rsidRPr="0075616A">
        <w:rPr>
          <w:rFonts w:ascii="Times New Roman" w:hAnsi="Times New Roman"/>
          <w:sz w:val="24"/>
          <w:szCs w:val="24"/>
        </w:rPr>
        <w:t>estica 685/</w:t>
      </w:r>
      <w:r w:rsidR="00B13A7F">
        <w:rPr>
          <w:rFonts w:ascii="Times New Roman" w:hAnsi="Times New Roman"/>
          <w:sz w:val="24"/>
          <w:szCs w:val="24"/>
        </w:rPr>
        <w:t>34</w:t>
      </w:r>
      <w:bookmarkStart w:id="0" w:name="_GoBack"/>
      <w:bookmarkEnd w:id="0"/>
      <w:r w:rsidR="00682350" w:rsidRPr="0075616A">
        <w:rPr>
          <w:rFonts w:ascii="Times New Roman" w:hAnsi="Times New Roman"/>
          <w:sz w:val="24"/>
          <w:szCs w:val="24"/>
        </w:rPr>
        <w:t xml:space="preserve"> Z.U. 3493 K.O. Šibenik, Tvornica, površine 262 </w:t>
      </w:r>
      <w:r w:rsidR="00F443A2" w:rsidRPr="0075616A">
        <w:rPr>
          <w:rFonts w:ascii="Times New Roman" w:hAnsi="Times New Roman"/>
          <w:color w:val="000000"/>
          <w:sz w:val="24"/>
          <w:szCs w:val="24"/>
          <w:shd w:val="clear" w:color="auto" w:fill="F6F6F6"/>
        </w:rPr>
        <w:t>m</w:t>
      </w:r>
      <w:r w:rsidR="00F443A2" w:rsidRPr="0075616A">
        <w:rPr>
          <w:rFonts w:ascii="Times New Roman" w:hAnsi="Times New Roman"/>
          <w:color w:val="000000"/>
          <w:sz w:val="24"/>
          <w:szCs w:val="24"/>
          <w:shd w:val="clear" w:color="auto" w:fill="F6F6F6"/>
          <w:vertAlign w:val="superscript"/>
        </w:rPr>
        <w:t>2</w:t>
      </w:r>
      <w:r w:rsidR="00682350" w:rsidRPr="0075616A">
        <w:rPr>
          <w:rFonts w:ascii="Times New Roman" w:hAnsi="Times New Roman"/>
          <w:sz w:val="24"/>
          <w:szCs w:val="24"/>
        </w:rPr>
        <w:t xml:space="preserve"> </w:t>
      </w:r>
      <w:r w:rsidR="00A97475" w:rsidRPr="0075616A">
        <w:rPr>
          <w:rFonts w:ascii="Times New Roman" w:hAnsi="Times New Roman"/>
          <w:sz w:val="24"/>
          <w:szCs w:val="24"/>
        </w:rPr>
        <w:t xml:space="preserve">, sukladno Elaboratu procjene tržišne vrijednosti nekretnina (zgrada) u vlasništvu poduzeća Tef d.d. od veljače 2018. godine. Nakon </w:t>
      </w:r>
      <w:r w:rsidR="0082119F" w:rsidRPr="0075616A">
        <w:rPr>
          <w:rFonts w:ascii="Times New Roman" w:hAnsi="Times New Roman"/>
          <w:sz w:val="24"/>
          <w:szCs w:val="24"/>
        </w:rPr>
        <w:t>evidentiranja poslovnih događaja u pos</w:t>
      </w:r>
      <w:r w:rsidR="00780B5E" w:rsidRPr="0075616A">
        <w:rPr>
          <w:rFonts w:ascii="Times New Roman" w:hAnsi="Times New Roman"/>
          <w:sz w:val="24"/>
          <w:szCs w:val="24"/>
        </w:rPr>
        <w:t>lov</w:t>
      </w:r>
      <w:r w:rsidR="0082119F" w:rsidRPr="0075616A">
        <w:rPr>
          <w:rFonts w:ascii="Times New Roman" w:hAnsi="Times New Roman"/>
          <w:sz w:val="24"/>
          <w:szCs w:val="24"/>
        </w:rPr>
        <w:t>nim knjigama Grada Šibenika</w:t>
      </w:r>
      <w:r w:rsidR="00A97475" w:rsidRPr="0075616A">
        <w:rPr>
          <w:rFonts w:ascii="Times New Roman" w:hAnsi="Times New Roman"/>
          <w:sz w:val="24"/>
          <w:szCs w:val="24"/>
        </w:rPr>
        <w:t>, saldo potraživanja na datum 30. lipnja 2020. ukupno iznosi 950.000,00 kn.</w:t>
      </w:r>
    </w:p>
    <w:p w:rsidR="00682350" w:rsidRDefault="00682350" w:rsidP="00682350">
      <w:pPr>
        <w:jc w:val="both"/>
        <w:rPr>
          <w:rFonts w:ascii="Times New Roman" w:hAnsi="Times New Roman"/>
          <w:sz w:val="24"/>
          <w:szCs w:val="24"/>
        </w:rPr>
      </w:pPr>
    </w:p>
    <w:p w:rsidR="009C3C02" w:rsidRPr="00682350" w:rsidRDefault="00AB2C45" w:rsidP="00682350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82350">
        <w:rPr>
          <w:rFonts w:ascii="Times New Roman" w:hAnsi="Times New Roman"/>
          <w:b/>
          <w:bCs/>
          <w:sz w:val="24"/>
          <w:szCs w:val="24"/>
        </w:rPr>
        <w:t>Agencija za pravni promet i posredovanje nekretninama (</w:t>
      </w:r>
      <w:r w:rsidR="009C3C02" w:rsidRPr="00682350">
        <w:rPr>
          <w:rFonts w:ascii="Times New Roman" w:hAnsi="Times New Roman"/>
          <w:b/>
          <w:bCs/>
          <w:sz w:val="24"/>
          <w:szCs w:val="24"/>
        </w:rPr>
        <w:t xml:space="preserve">dalje: </w:t>
      </w:r>
      <w:r w:rsidRPr="00682350">
        <w:rPr>
          <w:rFonts w:ascii="Times New Roman" w:hAnsi="Times New Roman"/>
          <w:b/>
          <w:bCs/>
          <w:sz w:val="24"/>
          <w:szCs w:val="24"/>
        </w:rPr>
        <w:t>APN)</w:t>
      </w:r>
      <w:r w:rsidRPr="00682350">
        <w:rPr>
          <w:rFonts w:ascii="Times New Roman" w:hAnsi="Times New Roman"/>
          <w:sz w:val="24"/>
          <w:szCs w:val="24"/>
        </w:rPr>
        <w:t xml:space="preserve"> – u izvještajnom razdoblju od 01. siječnja do 3</w:t>
      </w:r>
      <w:r w:rsidR="006504E3" w:rsidRPr="00682350">
        <w:rPr>
          <w:rFonts w:ascii="Times New Roman" w:hAnsi="Times New Roman"/>
          <w:sz w:val="24"/>
          <w:szCs w:val="24"/>
        </w:rPr>
        <w:t>0</w:t>
      </w:r>
      <w:r w:rsidRPr="00682350">
        <w:rPr>
          <w:rFonts w:ascii="Times New Roman" w:hAnsi="Times New Roman"/>
          <w:sz w:val="24"/>
          <w:szCs w:val="24"/>
        </w:rPr>
        <w:t xml:space="preserve">. </w:t>
      </w:r>
      <w:r w:rsidR="006504E3" w:rsidRPr="00682350">
        <w:rPr>
          <w:rFonts w:ascii="Times New Roman" w:hAnsi="Times New Roman"/>
          <w:sz w:val="24"/>
          <w:szCs w:val="24"/>
        </w:rPr>
        <w:t>lipnja</w:t>
      </w:r>
      <w:r w:rsidRPr="00682350">
        <w:rPr>
          <w:rFonts w:ascii="Times New Roman" w:hAnsi="Times New Roman"/>
          <w:sz w:val="24"/>
          <w:szCs w:val="24"/>
        </w:rPr>
        <w:t xml:space="preserve"> 20</w:t>
      </w:r>
      <w:r w:rsidR="006504E3" w:rsidRPr="00682350">
        <w:rPr>
          <w:rFonts w:ascii="Times New Roman" w:hAnsi="Times New Roman"/>
          <w:sz w:val="24"/>
          <w:szCs w:val="24"/>
        </w:rPr>
        <w:t>20</w:t>
      </w:r>
      <w:r w:rsidRPr="00682350">
        <w:rPr>
          <w:rFonts w:ascii="Times New Roman" w:hAnsi="Times New Roman"/>
          <w:sz w:val="24"/>
          <w:szCs w:val="24"/>
        </w:rPr>
        <w:t xml:space="preserve">., </w:t>
      </w:r>
      <w:r w:rsidR="009C3C02" w:rsidRPr="00682350">
        <w:rPr>
          <w:rFonts w:ascii="Times New Roman" w:hAnsi="Times New Roman"/>
          <w:sz w:val="24"/>
          <w:szCs w:val="24"/>
        </w:rPr>
        <w:t>APN</w:t>
      </w:r>
      <w:r w:rsidRPr="00682350">
        <w:rPr>
          <w:rFonts w:ascii="Times New Roman" w:hAnsi="Times New Roman"/>
          <w:sz w:val="24"/>
          <w:szCs w:val="24"/>
        </w:rPr>
        <w:t xml:space="preserve"> je Gradu Šibeniku doznači</w:t>
      </w:r>
      <w:r w:rsidR="009C3C02" w:rsidRPr="00682350">
        <w:rPr>
          <w:rFonts w:ascii="Times New Roman" w:hAnsi="Times New Roman"/>
          <w:sz w:val="24"/>
          <w:szCs w:val="24"/>
        </w:rPr>
        <w:t>o</w:t>
      </w:r>
      <w:r w:rsidRPr="00682350">
        <w:rPr>
          <w:rFonts w:ascii="Times New Roman" w:hAnsi="Times New Roman"/>
          <w:sz w:val="24"/>
          <w:szCs w:val="24"/>
        </w:rPr>
        <w:t xml:space="preserve"> </w:t>
      </w:r>
      <w:r w:rsidR="009C3C02" w:rsidRPr="00682350">
        <w:rPr>
          <w:rFonts w:ascii="Times New Roman" w:hAnsi="Times New Roman"/>
          <w:sz w:val="24"/>
          <w:szCs w:val="24"/>
        </w:rPr>
        <w:t xml:space="preserve">ukupan </w:t>
      </w:r>
      <w:r w:rsidRPr="00682350">
        <w:rPr>
          <w:rFonts w:ascii="Times New Roman" w:hAnsi="Times New Roman"/>
          <w:sz w:val="24"/>
          <w:szCs w:val="24"/>
        </w:rPr>
        <w:t>iznos 23</w:t>
      </w:r>
      <w:r w:rsidR="006504E3" w:rsidRPr="00682350">
        <w:rPr>
          <w:rFonts w:ascii="Times New Roman" w:hAnsi="Times New Roman"/>
          <w:sz w:val="24"/>
          <w:szCs w:val="24"/>
        </w:rPr>
        <w:t>6.849,05</w:t>
      </w:r>
      <w:r w:rsidR="00FD4E82" w:rsidRPr="00682350">
        <w:rPr>
          <w:rFonts w:ascii="Times New Roman" w:hAnsi="Times New Roman"/>
          <w:sz w:val="24"/>
          <w:szCs w:val="24"/>
        </w:rPr>
        <w:t xml:space="preserve"> </w:t>
      </w:r>
      <w:r w:rsidR="009C3C02" w:rsidRPr="00682350">
        <w:rPr>
          <w:rFonts w:ascii="Times New Roman" w:hAnsi="Times New Roman"/>
          <w:sz w:val="24"/>
          <w:szCs w:val="24"/>
        </w:rPr>
        <w:t>kn</w:t>
      </w:r>
      <w:r w:rsidR="009652F2" w:rsidRPr="00682350">
        <w:rPr>
          <w:rFonts w:ascii="Times New Roman" w:hAnsi="Times New Roman"/>
          <w:sz w:val="24"/>
          <w:szCs w:val="24"/>
        </w:rPr>
        <w:t>.</w:t>
      </w:r>
    </w:p>
    <w:p w:rsidR="00AB2C45" w:rsidRPr="00786647" w:rsidRDefault="009C3C02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Naime, prema čl. 29. stavak 3. Zakona o društveno poticanoj stanogradnji („Narodne novine“ br. 109/01, 82/04, 76/07, 38/09, 86/12, 7/13 i 2/15) sredstva od prodaje stanova koja pripadaju Gradu Šibeniku, APN doznačava u Proračun Grada iznose prema izvršenim </w:t>
      </w:r>
      <w:r>
        <w:rPr>
          <w:rFonts w:ascii="Times New Roman" w:hAnsi="Times New Roman"/>
          <w:sz w:val="24"/>
          <w:szCs w:val="24"/>
        </w:rPr>
        <w:lastRenderedPageBreak/>
        <w:t xml:space="preserve">uplatama kupaca, u pravilu tromjesečno. Sukladno tome, APN dostavlja specifikacije uplata, odnosno povrata za građevinu u Šibeniku, za koju su kupci, prema potpisanim kupoprodajnim ugovorima, te planu otplate </w:t>
      </w:r>
      <w:r w:rsidR="00F86671">
        <w:rPr>
          <w:rFonts w:ascii="Times New Roman" w:hAnsi="Times New Roman"/>
          <w:sz w:val="24"/>
          <w:szCs w:val="24"/>
        </w:rPr>
        <w:t xml:space="preserve">(povrat Gradu Šibeniku i Republici Hrvatskoj) </w:t>
      </w:r>
      <w:r>
        <w:rPr>
          <w:rFonts w:ascii="Times New Roman" w:hAnsi="Times New Roman"/>
          <w:sz w:val="24"/>
          <w:szCs w:val="24"/>
        </w:rPr>
        <w:t>počeli obročnu otplatu ili su isplatili stan u cijelosti.</w:t>
      </w:r>
    </w:p>
    <w:sectPr w:rsidR="00AB2C45" w:rsidRPr="00786647" w:rsidSect="00453906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595" w:rsidRDefault="002D5595" w:rsidP="003A5D2A">
      <w:pPr>
        <w:spacing w:after="0" w:line="240" w:lineRule="auto"/>
      </w:pPr>
      <w:r>
        <w:separator/>
      </w:r>
    </w:p>
  </w:endnote>
  <w:endnote w:type="continuationSeparator" w:id="0">
    <w:p w:rsidR="002D5595" w:rsidRDefault="002D5595" w:rsidP="003A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595" w:rsidRDefault="002D5595" w:rsidP="003A5D2A">
      <w:pPr>
        <w:spacing w:after="0" w:line="240" w:lineRule="auto"/>
      </w:pPr>
      <w:r>
        <w:separator/>
      </w:r>
    </w:p>
  </w:footnote>
  <w:footnote w:type="continuationSeparator" w:id="0">
    <w:p w:rsidR="002D5595" w:rsidRDefault="002D5595" w:rsidP="003A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3369F"/>
    <w:multiLevelType w:val="hybridMultilevel"/>
    <w:tmpl w:val="642E8E24"/>
    <w:lvl w:ilvl="0" w:tplc="700015C4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8E40E3"/>
    <w:multiLevelType w:val="hybridMultilevel"/>
    <w:tmpl w:val="F96AFB42"/>
    <w:lvl w:ilvl="0" w:tplc="E3024D32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51C2D"/>
    <w:multiLevelType w:val="hybridMultilevel"/>
    <w:tmpl w:val="7E0046F0"/>
    <w:lvl w:ilvl="0" w:tplc="6900A9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7604571"/>
    <w:multiLevelType w:val="hybridMultilevel"/>
    <w:tmpl w:val="ACDE3D78"/>
    <w:lvl w:ilvl="0" w:tplc="43BAC9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7F20CB3"/>
    <w:multiLevelType w:val="hybridMultilevel"/>
    <w:tmpl w:val="8AA09E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62"/>
    <w:rsid w:val="00000B57"/>
    <w:rsid w:val="00001321"/>
    <w:rsid w:val="000074CE"/>
    <w:rsid w:val="00011361"/>
    <w:rsid w:val="000119BC"/>
    <w:rsid w:val="00017777"/>
    <w:rsid w:val="00026A8B"/>
    <w:rsid w:val="000331C1"/>
    <w:rsid w:val="00047723"/>
    <w:rsid w:val="00052C82"/>
    <w:rsid w:val="00055E63"/>
    <w:rsid w:val="00062FBC"/>
    <w:rsid w:val="00064F47"/>
    <w:rsid w:val="000839E0"/>
    <w:rsid w:val="00091BF3"/>
    <w:rsid w:val="00095FE7"/>
    <w:rsid w:val="000B2C81"/>
    <w:rsid w:val="000D55DF"/>
    <w:rsid w:val="000F5814"/>
    <w:rsid w:val="00111B0C"/>
    <w:rsid w:val="00113749"/>
    <w:rsid w:val="00114259"/>
    <w:rsid w:val="001144A3"/>
    <w:rsid w:val="001366C1"/>
    <w:rsid w:val="00143B79"/>
    <w:rsid w:val="00145EFE"/>
    <w:rsid w:val="00152FEB"/>
    <w:rsid w:val="00153590"/>
    <w:rsid w:val="00156ACA"/>
    <w:rsid w:val="00160E9F"/>
    <w:rsid w:val="00165262"/>
    <w:rsid w:val="00171689"/>
    <w:rsid w:val="001A5B21"/>
    <w:rsid w:val="001B22CF"/>
    <w:rsid w:val="001B531B"/>
    <w:rsid w:val="001C0D9E"/>
    <w:rsid w:val="001C4469"/>
    <w:rsid w:val="001D08DB"/>
    <w:rsid w:val="001D6D6D"/>
    <w:rsid w:val="001E118E"/>
    <w:rsid w:val="001F2BBC"/>
    <w:rsid w:val="001F3D69"/>
    <w:rsid w:val="001F507E"/>
    <w:rsid w:val="00201893"/>
    <w:rsid w:val="00207C43"/>
    <w:rsid w:val="00215888"/>
    <w:rsid w:val="0021677D"/>
    <w:rsid w:val="00222CAB"/>
    <w:rsid w:val="002236AF"/>
    <w:rsid w:val="00236580"/>
    <w:rsid w:val="00253F4B"/>
    <w:rsid w:val="00256E1D"/>
    <w:rsid w:val="002615F8"/>
    <w:rsid w:val="0026498C"/>
    <w:rsid w:val="00273CEF"/>
    <w:rsid w:val="002811B3"/>
    <w:rsid w:val="00285904"/>
    <w:rsid w:val="0028635B"/>
    <w:rsid w:val="00292B14"/>
    <w:rsid w:val="00297939"/>
    <w:rsid w:val="002A419E"/>
    <w:rsid w:val="002A7A95"/>
    <w:rsid w:val="002C2107"/>
    <w:rsid w:val="002D073D"/>
    <w:rsid w:val="002D5595"/>
    <w:rsid w:val="002E3D53"/>
    <w:rsid w:val="002F7E87"/>
    <w:rsid w:val="003013CD"/>
    <w:rsid w:val="003027D8"/>
    <w:rsid w:val="003068A4"/>
    <w:rsid w:val="00307049"/>
    <w:rsid w:val="00315493"/>
    <w:rsid w:val="00315F00"/>
    <w:rsid w:val="003273E9"/>
    <w:rsid w:val="0032796F"/>
    <w:rsid w:val="00330A02"/>
    <w:rsid w:val="0033354E"/>
    <w:rsid w:val="00334D6D"/>
    <w:rsid w:val="00336C32"/>
    <w:rsid w:val="00341F66"/>
    <w:rsid w:val="0035002E"/>
    <w:rsid w:val="00350CB8"/>
    <w:rsid w:val="00363D76"/>
    <w:rsid w:val="00365C14"/>
    <w:rsid w:val="003719C5"/>
    <w:rsid w:val="003763CE"/>
    <w:rsid w:val="00376FEF"/>
    <w:rsid w:val="0039220D"/>
    <w:rsid w:val="00395696"/>
    <w:rsid w:val="00397E49"/>
    <w:rsid w:val="003A046D"/>
    <w:rsid w:val="003A5D2A"/>
    <w:rsid w:val="003B0003"/>
    <w:rsid w:val="003B0732"/>
    <w:rsid w:val="003B5DCD"/>
    <w:rsid w:val="003C0D86"/>
    <w:rsid w:val="003C2D84"/>
    <w:rsid w:val="003D2F04"/>
    <w:rsid w:val="003D3E47"/>
    <w:rsid w:val="003D3F39"/>
    <w:rsid w:val="003D5588"/>
    <w:rsid w:val="003E17B9"/>
    <w:rsid w:val="003F0741"/>
    <w:rsid w:val="003F2952"/>
    <w:rsid w:val="003F5C1C"/>
    <w:rsid w:val="0040026E"/>
    <w:rsid w:val="0040156E"/>
    <w:rsid w:val="00403A2C"/>
    <w:rsid w:val="00405283"/>
    <w:rsid w:val="00410D34"/>
    <w:rsid w:val="00411E0A"/>
    <w:rsid w:val="004121F6"/>
    <w:rsid w:val="0041517E"/>
    <w:rsid w:val="00420E53"/>
    <w:rsid w:val="0042180A"/>
    <w:rsid w:val="004255C8"/>
    <w:rsid w:val="0042651B"/>
    <w:rsid w:val="00427189"/>
    <w:rsid w:val="00450033"/>
    <w:rsid w:val="00453906"/>
    <w:rsid w:val="004662DD"/>
    <w:rsid w:val="004666F6"/>
    <w:rsid w:val="00466C97"/>
    <w:rsid w:val="004702CD"/>
    <w:rsid w:val="0047774F"/>
    <w:rsid w:val="0048098F"/>
    <w:rsid w:val="004812E3"/>
    <w:rsid w:val="0048647A"/>
    <w:rsid w:val="004907BE"/>
    <w:rsid w:val="00491649"/>
    <w:rsid w:val="004A5E0D"/>
    <w:rsid w:val="004C4C51"/>
    <w:rsid w:val="004D3988"/>
    <w:rsid w:val="004E0F87"/>
    <w:rsid w:val="004E755A"/>
    <w:rsid w:val="004F31CC"/>
    <w:rsid w:val="004F3F8E"/>
    <w:rsid w:val="004F441F"/>
    <w:rsid w:val="00501C32"/>
    <w:rsid w:val="00503FF6"/>
    <w:rsid w:val="0051116E"/>
    <w:rsid w:val="00513C01"/>
    <w:rsid w:val="00513DBC"/>
    <w:rsid w:val="005216D5"/>
    <w:rsid w:val="00524E58"/>
    <w:rsid w:val="00530604"/>
    <w:rsid w:val="0053555D"/>
    <w:rsid w:val="005355C2"/>
    <w:rsid w:val="00535DF1"/>
    <w:rsid w:val="00547C74"/>
    <w:rsid w:val="00567FF6"/>
    <w:rsid w:val="00571AA8"/>
    <w:rsid w:val="005802C5"/>
    <w:rsid w:val="00587867"/>
    <w:rsid w:val="00597962"/>
    <w:rsid w:val="005B1443"/>
    <w:rsid w:val="005B1F44"/>
    <w:rsid w:val="005B7F30"/>
    <w:rsid w:val="005C1FD7"/>
    <w:rsid w:val="005C3025"/>
    <w:rsid w:val="005C7CF3"/>
    <w:rsid w:val="005D241E"/>
    <w:rsid w:val="005D2AA7"/>
    <w:rsid w:val="005E2EC9"/>
    <w:rsid w:val="005E5165"/>
    <w:rsid w:val="005E70B7"/>
    <w:rsid w:val="005F33DB"/>
    <w:rsid w:val="005F78B4"/>
    <w:rsid w:val="006011B5"/>
    <w:rsid w:val="00605A41"/>
    <w:rsid w:val="00616F2E"/>
    <w:rsid w:val="00623076"/>
    <w:rsid w:val="00623845"/>
    <w:rsid w:val="006504E3"/>
    <w:rsid w:val="00651AE4"/>
    <w:rsid w:val="006532D0"/>
    <w:rsid w:val="00654515"/>
    <w:rsid w:val="006548CA"/>
    <w:rsid w:val="006656FC"/>
    <w:rsid w:val="0066726F"/>
    <w:rsid w:val="00672BA4"/>
    <w:rsid w:val="00681E1C"/>
    <w:rsid w:val="00682350"/>
    <w:rsid w:val="006827B2"/>
    <w:rsid w:val="00696743"/>
    <w:rsid w:val="00697326"/>
    <w:rsid w:val="006A00A0"/>
    <w:rsid w:val="006B4502"/>
    <w:rsid w:val="006C3969"/>
    <w:rsid w:val="006D0D26"/>
    <w:rsid w:val="006D69DE"/>
    <w:rsid w:val="006F0C9F"/>
    <w:rsid w:val="006F277B"/>
    <w:rsid w:val="006F6099"/>
    <w:rsid w:val="00702B06"/>
    <w:rsid w:val="00723E37"/>
    <w:rsid w:val="007279EC"/>
    <w:rsid w:val="007408C5"/>
    <w:rsid w:val="00740E05"/>
    <w:rsid w:val="0075616A"/>
    <w:rsid w:val="00763E84"/>
    <w:rsid w:val="007669E2"/>
    <w:rsid w:val="00767D1A"/>
    <w:rsid w:val="00775D74"/>
    <w:rsid w:val="00780B5E"/>
    <w:rsid w:val="00786647"/>
    <w:rsid w:val="007871DC"/>
    <w:rsid w:val="007A21FE"/>
    <w:rsid w:val="007A7DC1"/>
    <w:rsid w:val="007D11DB"/>
    <w:rsid w:val="007E1511"/>
    <w:rsid w:val="007E5832"/>
    <w:rsid w:val="007E5D7D"/>
    <w:rsid w:val="00810F3A"/>
    <w:rsid w:val="00812AED"/>
    <w:rsid w:val="00812C5D"/>
    <w:rsid w:val="008208AC"/>
    <w:rsid w:val="0082119F"/>
    <w:rsid w:val="00837092"/>
    <w:rsid w:val="00841EEF"/>
    <w:rsid w:val="00845532"/>
    <w:rsid w:val="00850613"/>
    <w:rsid w:val="00867C2E"/>
    <w:rsid w:val="00873C15"/>
    <w:rsid w:val="008A3DF1"/>
    <w:rsid w:val="008A7F21"/>
    <w:rsid w:val="008B08DC"/>
    <w:rsid w:val="008B2E99"/>
    <w:rsid w:val="008C216C"/>
    <w:rsid w:val="008D3AB7"/>
    <w:rsid w:val="008E01D2"/>
    <w:rsid w:val="008E2B1B"/>
    <w:rsid w:val="008E35E5"/>
    <w:rsid w:val="008F5B7C"/>
    <w:rsid w:val="009154EE"/>
    <w:rsid w:val="009163DB"/>
    <w:rsid w:val="00917A85"/>
    <w:rsid w:val="00924AAB"/>
    <w:rsid w:val="009257CB"/>
    <w:rsid w:val="00926254"/>
    <w:rsid w:val="00933D6C"/>
    <w:rsid w:val="00947C40"/>
    <w:rsid w:val="00950018"/>
    <w:rsid w:val="00950F15"/>
    <w:rsid w:val="00956E60"/>
    <w:rsid w:val="009652F2"/>
    <w:rsid w:val="00974873"/>
    <w:rsid w:val="00975260"/>
    <w:rsid w:val="00983F13"/>
    <w:rsid w:val="009879C0"/>
    <w:rsid w:val="0099116C"/>
    <w:rsid w:val="00995863"/>
    <w:rsid w:val="009A0F42"/>
    <w:rsid w:val="009A3D40"/>
    <w:rsid w:val="009A3E7D"/>
    <w:rsid w:val="009A7B18"/>
    <w:rsid w:val="009B0016"/>
    <w:rsid w:val="009B1DBF"/>
    <w:rsid w:val="009C1845"/>
    <w:rsid w:val="009C3C02"/>
    <w:rsid w:val="009D0976"/>
    <w:rsid w:val="009D0AD5"/>
    <w:rsid w:val="009D3C4B"/>
    <w:rsid w:val="009D56BE"/>
    <w:rsid w:val="009D5744"/>
    <w:rsid w:val="009E4805"/>
    <w:rsid w:val="00A044B8"/>
    <w:rsid w:val="00A07F76"/>
    <w:rsid w:val="00A16EB0"/>
    <w:rsid w:val="00A2183F"/>
    <w:rsid w:val="00A477A7"/>
    <w:rsid w:val="00A50FC3"/>
    <w:rsid w:val="00A531C3"/>
    <w:rsid w:val="00A63E5C"/>
    <w:rsid w:val="00A64D10"/>
    <w:rsid w:val="00A70B29"/>
    <w:rsid w:val="00A77A7D"/>
    <w:rsid w:val="00A82674"/>
    <w:rsid w:val="00A9246D"/>
    <w:rsid w:val="00A97475"/>
    <w:rsid w:val="00AA4915"/>
    <w:rsid w:val="00AB0FCD"/>
    <w:rsid w:val="00AB2C45"/>
    <w:rsid w:val="00AC19D2"/>
    <w:rsid w:val="00AC4FD3"/>
    <w:rsid w:val="00AD0BB8"/>
    <w:rsid w:val="00AE5350"/>
    <w:rsid w:val="00B06890"/>
    <w:rsid w:val="00B07471"/>
    <w:rsid w:val="00B13A7F"/>
    <w:rsid w:val="00B26100"/>
    <w:rsid w:val="00B40173"/>
    <w:rsid w:val="00B55453"/>
    <w:rsid w:val="00B63271"/>
    <w:rsid w:val="00B64D41"/>
    <w:rsid w:val="00B70158"/>
    <w:rsid w:val="00B719E0"/>
    <w:rsid w:val="00B734F1"/>
    <w:rsid w:val="00B77C07"/>
    <w:rsid w:val="00B83B8D"/>
    <w:rsid w:val="00B843BF"/>
    <w:rsid w:val="00BA293E"/>
    <w:rsid w:val="00BB6FA2"/>
    <w:rsid w:val="00BC0716"/>
    <w:rsid w:val="00BC1650"/>
    <w:rsid w:val="00BC3D44"/>
    <w:rsid w:val="00BC4733"/>
    <w:rsid w:val="00BC5294"/>
    <w:rsid w:val="00BD392B"/>
    <w:rsid w:val="00BE1A74"/>
    <w:rsid w:val="00BE36B0"/>
    <w:rsid w:val="00BE5B4E"/>
    <w:rsid w:val="00BE7EB5"/>
    <w:rsid w:val="00BF39F5"/>
    <w:rsid w:val="00BF3BF6"/>
    <w:rsid w:val="00BF6629"/>
    <w:rsid w:val="00C03415"/>
    <w:rsid w:val="00C0660B"/>
    <w:rsid w:val="00C11903"/>
    <w:rsid w:val="00C13ABC"/>
    <w:rsid w:val="00C14420"/>
    <w:rsid w:val="00C266CB"/>
    <w:rsid w:val="00C26B17"/>
    <w:rsid w:val="00C307AD"/>
    <w:rsid w:val="00C411BB"/>
    <w:rsid w:val="00C46338"/>
    <w:rsid w:val="00C614E1"/>
    <w:rsid w:val="00C61F87"/>
    <w:rsid w:val="00C63130"/>
    <w:rsid w:val="00C717C8"/>
    <w:rsid w:val="00C72383"/>
    <w:rsid w:val="00C774F8"/>
    <w:rsid w:val="00C92DDA"/>
    <w:rsid w:val="00C95B57"/>
    <w:rsid w:val="00C97202"/>
    <w:rsid w:val="00CA202C"/>
    <w:rsid w:val="00CB793B"/>
    <w:rsid w:val="00CE015A"/>
    <w:rsid w:val="00CE0BA1"/>
    <w:rsid w:val="00CF6943"/>
    <w:rsid w:val="00CF7A07"/>
    <w:rsid w:val="00D158B1"/>
    <w:rsid w:val="00D15BE5"/>
    <w:rsid w:val="00D2502E"/>
    <w:rsid w:val="00D27CD9"/>
    <w:rsid w:val="00D30419"/>
    <w:rsid w:val="00D44C53"/>
    <w:rsid w:val="00D545A6"/>
    <w:rsid w:val="00D57885"/>
    <w:rsid w:val="00D6273B"/>
    <w:rsid w:val="00D760B1"/>
    <w:rsid w:val="00D94818"/>
    <w:rsid w:val="00DA5D78"/>
    <w:rsid w:val="00DC128D"/>
    <w:rsid w:val="00DC3E5D"/>
    <w:rsid w:val="00DC460D"/>
    <w:rsid w:val="00DC7775"/>
    <w:rsid w:val="00DD0A40"/>
    <w:rsid w:val="00DD5783"/>
    <w:rsid w:val="00DD581C"/>
    <w:rsid w:val="00DD594E"/>
    <w:rsid w:val="00DE06BF"/>
    <w:rsid w:val="00DE2D5F"/>
    <w:rsid w:val="00DE7686"/>
    <w:rsid w:val="00DE76EC"/>
    <w:rsid w:val="00DE7ADD"/>
    <w:rsid w:val="00E268A0"/>
    <w:rsid w:val="00E3363B"/>
    <w:rsid w:val="00E3655D"/>
    <w:rsid w:val="00E37A4A"/>
    <w:rsid w:val="00E4351C"/>
    <w:rsid w:val="00E51786"/>
    <w:rsid w:val="00E55C10"/>
    <w:rsid w:val="00E84B59"/>
    <w:rsid w:val="00E8610D"/>
    <w:rsid w:val="00E90A29"/>
    <w:rsid w:val="00EA27E7"/>
    <w:rsid w:val="00EA6410"/>
    <w:rsid w:val="00EB54D7"/>
    <w:rsid w:val="00EC1D8A"/>
    <w:rsid w:val="00EC3F08"/>
    <w:rsid w:val="00ED417A"/>
    <w:rsid w:val="00ED587F"/>
    <w:rsid w:val="00EE024A"/>
    <w:rsid w:val="00EE64BF"/>
    <w:rsid w:val="00EF1F81"/>
    <w:rsid w:val="00EF4592"/>
    <w:rsid w:val="00EF4762"/>
    <w:rsid w:val="00F00120"/>
    <w:rsid w:val="00F005C5"/>
    <w:rsid w:val="00F14111"/>
    <w:rsid w:val="00F15CEE"/>
    <w:rsid w:val="00F24024"/>
    <w:rsid w:val="00F400AA"/>
    <w:rsid w:val="00F443A2"/>
    <w:rsid w:val="00F448F5"/>
    <w:rsid w:val="00F45F44"/>
    <w:rsid w:val="00F4631D"/>
    <w:rsid w:val="00F51903"/>
    <w:rsid w:val="00F52358"/>
    <w:rsid w:val="00F54218"/>
    <w:rsid w:val="00F658C2"/>
    <w:rsid w:val="00F76FC6"/>
    <w:rsid w:val="00F81D71"/>
    <w:rsid w:val="00F86671"/>
    <w:rsid w:val="00F86DF7"/>
    <w:rsid w:val="00F92F42"/>
    <w:rsid w:val="00F94DCF"/>
    <w:rsid w:val="00FB0805"/>
    <w:rsid w:val="00FC0ACC"/>
    <w:rsid w:val="00FD011F"/>
    <w:rsid w:val="00FD013C"/>
    <w:rsid w:val="00FD19DA"/>
    <w:rsid w:val="00FD4E82"/>
    <w:rsid w:val="00FD4F23"/>
    <w:rsid w:val="00FE5F91"/>
    <w:rsid w:val="00FE63F2"/>
    <w:rsid w:val="00FE7F23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4FD6"/>
  <w15:docId w15:val="{90021552-8362-4FF8-B4A8-5B1E2CBB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62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A5D2A"/>
  </w:style>
  <w:style w:type="paragraph" w:styleId="Podnoje">
    <w:name w:val="footer"/>
    <w:basedOn w:val="Normal"/>
    <w:link w:val="Podnoje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3A5D2A"/>
  </w:style>
  <w:style w:type="paragraph" w:styleId="Odlomakpopisa">
    <w:name w:val="List Paragraph"/>
    <w:basedOn w:val="Normal"/>
    <w:uiPriority w:val="34"/>
    <w:qFormat/>
    <w:rsid w:val="00C61F87"/>
    <w:pPr>
      <w:ind w:left="720"/>
      <w:contextualSpacing/>
    </w:pPr>
  </w:style>
  <w:style w:type="table" w:styleId="Srednjesjenanje2-Isticanje3">
    <w:name w:val="Medium Shading 2 Accent 3"/>
    <w:basedOn w:val="Obinatablica"/>
    <w:uiPriority w:val="64"/>
    <w:rsid w:val="009E48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etkatablice">
    <w:name w:val="Table Grid"/>
    <w:basedOn w:val="Obinatablica"/>
    <w:uiPriority w:val="59"/>
    <w:rsid w:val="00933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1-Isticanje1">
    <w:name w:val="Medium Grid 1 Accent 1"/>
    <w:basedOn w:val="Obinatablica"/>
    <w:uiPriority w:val="67"/>
    <w:rsid w:val="00933D6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5D8BD-7A8B-4A20-9B07-129134F6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12</Pages>
  <Words>2368</Words>
  <Characters>13504</Characters>
  <Application>Microsoft Office Word</Application>
  <DocSecurity>0</DocSecurity>
  <Lines>112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Sibenik</dc:creator>
  <cp:lastModifiedBy>Karmelina Bosnic</cp:lastModifiedBy>
  <cp:revision>35</cp:revision>
  <cp:lastPrinted>2017-04-25T07:18:00Z</cp:lastPrinted>
  <dcterms:created xsi:type="dcterms:W3CDTF">2020-09-07T09:59:00Z</dcterms:created>
  <dcterms:modified xsi:type="dcterms:W3CDTF">2020-09-24T06:28:00Z</dcterms:modified>
</cp:coreProperties>
</file>